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9A350C" w:rsidP="009A350C">
      <w:pPr>
        <w:pStyle w:val="Standard"/>
        <w:spacing w:before="12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Obnova páteřních cest a oprava márnice na hřbitově</w:t>
      </w:r>
      <w:r w:rsidR="00CB287A">
        <w:rPr>
          <w:rFonts w:cs="Arial"/>
          <w:b/>
          <w:bCs/>
          <w:sz w:val="26"/>
          <w:szCs w:val="26"/>
        </w:rPr>
        <w:t xml:space="preserve"> </w:t>
      </w:r>
      <w:r w:rsidR="001B669C">
        <w:rPr>
          <w:rFonts w:cs="Arial"/>
          <w:b/>
          <w:bCs/>
          <w:sz w:val="26"/>
          <w:szCs w:val="26"/>
        </w:rPr>
        <w:t>ve Vysokém nad Jizerou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201</w:t>
      </w:r>
      <w:r w:rsidR="009A350C">
        <w:rPr>
          <w:rFonts w:eastAsia="Calibri-Bold" w:cs="Calibri-Bold"/>
          <w:b/>
          <w:bCs/>
          <w:sz w:val="26"/>
          <w:szCs w:val="26"/>
        </w:rPr>
        <w:t>7</w:t>
      </w:r>
      <w:r>
        <w:rPr>
          <w:rFonts w:eastAsia="Calibri-Bold" w:cs="Calibri-Bold"/>
          <w:b/>
          <w:bCs/>
          <w:sz w:val="26"/>
          <w:szCs w:val="26"/>
        </w:rPr>
        <w:t>00</w:t>
      </w:r>
      <w:r w:rsidR="009A350C">
        <w:rPr>
          <w:rFonts w:eastAsia="Calibri-Bold" w:cs="Calibri-Bold"/>
          <w:b/>
          <w:bCs/>
          <w:sz w:val="26"/>
          <w:szCs w:val="26"/>
        </w:rPr>
        <w:t>5</w:t>
      </w:r>
    </w:p>
    <w:p w:rsidR="001B1534" w:rsidRDefault="001B1534" w:rsidP="009A350C">
      <w:pPr>
        <w:pStyle w:val="Standard"/>
        <w:jc w:val="both"/>
        <w:rPr>
          <w:rFonts w:cs="Arial"/>
          <w:b/>
          <w:bCs/>
          <w:szCs w:val="20"/>
        </w:rPr>
      </w:pPr>
    </w:p>
    <w:p w:rsidR="001B1534" w:rsidRDefault="001B1534" w:rsidP="001B1534">
      <w:pPr>
        <w:pStyle w:val="Standard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</w:t>
      </w:r>
      <w:r w:rsidR="009A350C">
        <w:rPr>
          <w:rFonts w:cs="Arial"/>
          <w:iCs/>
          <w:szCs w:val="20"/>
        </w:rPr>
        <w:t>II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9A350C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9A350C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9A350C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</w:t>
      </w:r>
      <w:r w:rsidR="009A350C">
        <w:rPr>
          <w:rFonts w:eastAsia="Calibri" w:cs="Calibri"/>
          <w:szCs w:val="20"/>
        </w:rPr>
        <w:t xml:space="preserve"> / DIČ</w:t>
      </w:r>
      <w:r>
        <w:rPr>
          <w:rFonts w:eastAsia="Calibri" w:cs="Calibri"/>
          <w:szCs w:val="20"/>
        </w:rPr>
        <w:t>: 00276294</w:t>
      </w:r>
      <w:r w:rsidR="009A350C">
        <w:rPr>
          <w:rFonts w:eastAsia="Calibri" w:cs="Calibri"/>
          <w:szCs w:val="20"/>
        </w:rPr>
        <w:t xml:space="preserve"> /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9A350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Ing. Jaroslav Nechanický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tel.: </w:t>
      </w:r>
      <w:r w:rsidRPr="009A350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481 593 </w:t>
      </w:r>
      <w:r w:rsidR="009A350C" w:rsidRPr="009A350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, mobil.: </w:t>
      </w:r>
      <w:r w:rsidRPr="009A350C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605 976 887</w:t>
      </w:r>
    </w:p>
    <w:p w:rsidR="001B1534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>email: mistostarosta@vysokenadjizerou.cz</w:t>
      </w:r>
    </w:p>
    <w:p w:rsidR="001B1534" w:rsidRDefault="001B1534" w:rsidP="001B1534">
      <w:pPr>
        <w:pStyle w:val="Standard"/>
        <w:ind w:left="350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</w:t>
      </w:r>
      <w:r w:rsidR="009A350C">
        <w:rPr>
          <w:rFonts w:eastAsia="Calibri" w:cs="Arial"/>
          <w:szCs w:val="20"/>
        </w:rPr>
        <w:t>II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96C30" w:rsidRDefault="00996C30" w:rsidP="00996C30">
      <w:pPr>
        <w:pStyle w:val="Standard"/>
        <w:spacing w:after="57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 xml:space="preserve">Název zakázky: </w:t>
      </w:r>
      <w:r w:rsidR="009A350C">
        <w:rPr>
          <w:rFonts w:cs="Arial"/>
          <w:b/>
          <w:bCs/>
          <w:szCs w:val="20"/>
        </w:rPr>
        <w:t>Obnova páteřních cest a oprava márnice na hřbitově</w:t>
      </w:r>
      <w:r w:rsidR="001B669C">
        <w:rPr>
          <w:rFonts w:cs="Arial"/>
          <w:b/>
          <w:bCs/>
          <w:szCs w:val="20"/>
        </w:rPr>
        <w:t xml:space="preserve"> ve Vysokém nad Jizerou</w:t>
      </w:r>
    </w:p>
    <w:p w:rsidR="0097551E" w:rsidRPr="00C9227B" w:rsidRDefault="0097551E" w:rsidP="0097551E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/>
          <w:bCs/>
          <w:szCs w:val="20"/>
        </w:rPr>
        <w:t xml:space="preserve">Předmětem zakázky je </w:t>
      </w:r>
      <w:r>
        <w:rPr>
          <w:rFonts w:eastAsia="Calibri" w:cs="Arial"/>
          <w:bCs/>
          <w:szCs w:val="20"/>
        </w:rPr>
        <w:t xml:space="preserve">obnova </w:t>
      </w:r>
      <w:r w:rsidRPr="00D91E23">
        <w:rPr>
          <w:rFonts w:eastAsia="Calibri" w:cs="Arial"/>
          <w:bCs/>
          <w:szCs w:val="20"/>
        </w:rPr>
        <w:t>hřbitovní</w:t>
      </w:r>
      <w:r>
        <w:rPr>
          <w:rFonts w:eastAsia="Calibri" w:cs="Arial"/>
          <w:bCs/>
          <w:szCs w:val="20"/>
        </w:rPr>
        <w:t>ch</w:t>
      </w:r>
      <w:r w:rsidRPr="00D91E23">
        <w:rPr>
          <w:rFonts w:eastAsia="Calibri" w:cs="Arial"/>
          <w:bCs/>
          <w:szCs w:val="20"/>
        </w:rPr>
        <w:t xml:space="preserve"> pěšin </w:t>
      </w:r>
      <w:r>
        <w:rPr>
          <w:rFonts w:eastAsia="Calibri" w:cs="Arial"/>
          <w:bCs/>
          <w:szCs w:val="20"/>
        </w:rPr>
        <w:t xml:space="preserve">v celkové délce 280 m, jež </w:t>
      </w:r>
      <w:r w:rsidRPr="00D91E23">
        <w:rPr>
          <w:rFonts w:eastAsia="Calibri" w:cs="Arial"/>
          <w:bCs/>
          <w:szCs w:val="20"/>
        </w:rPr>
        <w:t>jsou tvořeny dvěma hlavními cestami, které prochází středem hřbitova a uprostřed v místě, kde se nachází pomník, se kříží a dvěma vedlejšími cestami</w:t>
      </w:r>
      <w:r>
        <w:rPr>
          <w:rFonts w:eastAsia="Calibri" w:cs="Arial"/>
          <w:bCs/>
          <w:szCs w:val="20"/>
        </w:rPr>
        <w:t xml:space="preserve">. </w:t>
      </w:r>
      <w:r w:rsidRPr="00D91E23">
        <w:rPr>
          <w:rFonts w:eastAsia="Calibri" w:cs="Arial"/>
          <w:bCs/>
          <w:szCs w:val="20"/>
        </w:rPr>
        <w:t>Cesty jsou v současné době spíše travnaté, některé hliněné, vyšlapané a není nijak řešeno jejich odvodnění</w:t>
      </w:r>
      <w:r>
        <w:rPr>
          <w:rFonts w:eastAsia="Calibri" w:cs="Arial"/>
          <w:bCs/>
          <w:szCs w:val="20"/>
        </w:rPr>
        <w:t>.</w:t>
      </w:r>
      <w:r w:rsidRPr="00D91E23">
        <w:rPr>
          <w:rFonts w:eastAsia="Calibri" w:cs="Arial"/>
          <w:bCs/>
          <w:szCs w:val="20"/>
        </w:rPr>
        <w:t xml:space="preserve"> Cesty je třeba obnovit, znovu ohraničit, zpevnit a odvodnit.</w:t>
      </w:r>
      <w:r>
        <w:rPr>
          <w:rFonts w:eastAsia="Calibri" w:cs="Arial"/>
          <w:bCs/>
          <w:szCs w:val="20"/>
        </w:rPr>
        <w:t xml:space="preserve"> </w:t>
      </w:r>
      <w:r w:rsidRPr="00C9227B">
        <w:rPr>
          <w:rFonts w:eastAsia="Calibri" w:cs="Arial"/>
          <w:bCs/>
          <w:szCs w:val="20"/>
        </w:rPr>
        <w:t>Stavba márnice je zčásti cihlová a neomítnutá, její podezdívka je vystavěná z žulových kopáků a betonových prefabrikátů</w:t>
      </w:r>
      <w:r>
        <w:rPr>
          <w:rFonts w:eastAsia="Calibri" w:cs="Arial"/>
          <w:bCs/>
          <w:szCs w:val="20"/>
        </w:rPr>
        <w:t xml:space="preserve">. </w:t>
      </w:r>
      <w:r w:rsidRPr="00C9227B">
        <w:rPr>
          <w:rFonts w:eastAsia="Calibri" w:cs="Arial"/>
          <w:bCs/>
          <w:szCs w:val="20"/>
        </w:rPr>
        <w:t xml:space="preserve">Střecha márnice byla opravena v roce 2016.  </w:t>
      </w:r>
    </w:p>
    <w:p w:rsidR="0097551E" w:rsidRPr="00D91E23" w:rsidRDefault="0097551E" w:rsidP="0097551E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Obnova pěšin bude zahrnovat </w:t>
      </w:r>
      <w:r w:rsidRPr="00D91E23">
        <w:rPr>
          <w:rFonts w:eastAsia="Calibri" w:cs="Arial"/>
          <w:bCs/>
          <w:szCs w:val="20"/>
        </w:rPr>
        <w:t xml:space="preserve">odstranění vrchní vrstvy zeminy a založení nových podkladních vrstev, které budou plnit drenážní a statickou funkci, a nové zejména pochozí vrstvy z mechanicky zpevněného kameniva – minerálního betonu. Souvrství podkladních vrstev a jejich tloušťka je </w:t>
      </w:r>
      <w:r>
        <w:rPr>
          <w:rFonts w:eastAsia="Calibri" w:cs="Arial"/>
          <w:bCs/>
          <w:szCs w:val="20"/>
        </w:rPr>
        <w:t xml:space="preserve">stanovena </w:t>
      </w:r>
      <w:r w:rsidRPr="00D91E23">
        <w:rPr>
          <w:rFonts w:eastAsia="Calibri" w:cs="Arial"/>
          <w:bCs/>
          <w:szCs w:val="20"/>
        </w:rPr>
        <w:t xml:space="preserve">s ohledem na očekávané dopravní zatížení, tj., minimální pohyb traktoru s přípojným vozidlem. Rychlé odvodnění povrchů z MZK </w:t>
      </w:r>
      <w:r>
        <w:rPr>
          <w:rFonts w:eastAsia="Calibri" w:cs="Arial"/>
          <w:bCs/>
          <w:szCs w:val="20"/>
        </w:rPr>
        <w:t>bude</w:t>
      </w:r>
      <w:r w:rsidRPr="00D91E23">
        <w:rPr>
          <w:rFonts w:eastAsia="Calibri" w:cs="Arial"/>
          <w:bCs/>
          <w:szCs w:val="20"/>
        </w:rPr>
        <w:t xml:space="preserve"> na cestách zajištěno střechovitým příčným sklonem cesty vedoucí od hlavní brány a 3 % jednostranným příčným sklonem cest rovnoběžných s čelní zdí. Zpevněná plocha kolem pomníku v centrální části hřbitova bude též odvodněna 3 % jednostranným příčným sklonem, jenž usměrní odtok vody do přilehlých travnatých ploch. Cesty budou obnoveny v půdorysu stávajících cest, pouze v místě křížení hlavních cest uprostřed hřbitova </w:t>
      </w:r>
      <w:r>
        <w:rPr>
          <w:rFonts w:eastAsia="Calibri" w:cs="Arial"/>
          <w:bCs/>
          <w:szCs w:val="20"/>
        </w:rPr>
        <w:t xml:space="preserve">bude </w:t>
      </w:r>
      <w:r w:rsidRPr="00D91E23">
        <w:rPr>
          <w:rFonts w:eastAsia="Calibri" w:cs="Arial"/>
          <w:bCs/>
          <w:szCs w:val="20"/>
        </w:rPr>
        <w:t>vybudov</w:t>
      </w:r>
      <w:r>
        <w:rPr>
          <w:rFonts w:eastAsia="Calibri" w:cs="Arial"/>
          <w:bCs/>
          <w:szCs w:val="20"/>
        </w:rPr>
        <w:t>ána</w:t>
      </w:r>
      <w:r w:rsidRPr="00D91E23">
        <w:rPr>
          <w:rFonts w:eastAsia="Calibri" w:cs="Arial"/>
          <w:bCs/>
          <w:szCs w:val="20"/>
        </w:rPr>
        <w:t xml:space="preserve"> kolem pomníku zpevněn</w:t>
      </w:r>
      <w:r>
        <w:rPr>
          <w:rFonts w:eastAsia="Calibri" w:cs="Arial"/>
          <w:bCs/>
          <w:szCs w:val="20"/>
        </w:rPr>
        <w:t>á plocha kruhového tvaru. Šířka</w:t>
      </w:r>
      <w:r w:rsidRPr="00D91E23">
        <w:rPr>
          <w:rFonts w:eastAsia="Calibri" w:cs="Arial"/>
          <w:bCs/>
          <w:szCs w:val="20"/>
        </w:rPr>
        <w:t xml:space="preserve"> cest </w:t>
      </w:r>
      <w:r>
        <w:rPr>
          <w:rFonts w:eastAsia="Calibri" w:cs="Arial"/>
          <w:bCs/>
          <w:szCs w:val="20"/>
        </w:rPr>
        <w:t xml:space="preserve">bude </w:t>
      </w:r>
      <w:r w:rsidRPr="00D91E23">
        <w:rPr>
          <w:rFonts w:eastAsia="Calibri" w:cs="Arial"/>
          <w:bCs/>
          <w:szCs w:val="20"/>
        </w:rPr>
        <w:t>uprav</w:t>
      </w:r>
      <w:r>
        <w:rPr>
          <w:rFonts w:eastAsia="Calibri" w:cs="Arial"/>
          <w:bCs/>
          <w:szCs w:val="20"/>
        </w:rPr>
        <w:t>ena,</w:t>
      </w:r>
      <w:r w:rsidRPr="00D91E23">
        <w:rPr>
          <w:rFonts w:eastAsia="Calibri" w:cs="Arial"/>
          <w:bCs/>
          <w:szCs w:val="20"/>
        </w:rPr>
        <w:t xml:space="preserve"> resp</w:t>
      </w:r>
      <w:r>
        <w:rPr>
          <w:rFonts w:eastAsia="Calibri" w:cs="Arial"/>
          <w:bCs/>
          <w:szCs w:val="20"/>
        </w:rPr>
        <w:t>.</w:t>
      </w:r>
      <w:r w:rsidRPr="00D91E23">
        <w:rPr>
          <w:rFonts w:eastAsia="Calibri" w:cs="Arial"/>
          <w:bCs/>
          <w:szCs w:val="20"/>
        </w:rPr>
        <w:t xml:space="preserve"> cesty </w:t>
      </w:r>
      <w:r>
        <w:rPr>
          <w:rFonts w:eastAsia="Calibri" w:cs="Arial"/>
          <w:bCs/>
          <w:szCs w:val="20"/>
        </w:rPr>
        <w:t xml:space="preserve">budou </w:t>
      </w:r>
      <w:r w:rsidRPr="00D91E23">
        <w:rPr>
          <w:rFonts w:eastAsia="Calibri" w:cs="Arial"/>
          <w:bCs/>
          <w:szCs w:val="20"/>
        </w:rPr>
        <w:t>rozšíř</w:t>
      </w:r>
      <w:r>
        <w:rPr>
          <w:rFonts w:eastAsia="Calibri" w:cs="Arial"/>
          <w:bCs/>
          <w:szCs w:val="20"/>
        </w:rPr>
        <w:t>eny</w:t>
      </w:r>
      <w:r w:rsidRPr="00D91E23">
        <w:rPr>
          <w:rFonts w:eastAsia="Calibri" w:cs="Arial"/>
          <w:bCs/>
          <w:szCs w:val="20"/>
        </w:rPr>
        <w:t xml:space="preserve"> na 2,3 metru na hlavních pěšinách a na 1,1 metru na vedlejších pěšinách. Celkem se jedná o cesty o ploše 476 m</w:t>
      </w:r>
      <w:r w:rsidRPr="00D91E23">
        <w:rPr>
          <w:rFonts w:eastAsia="Calibri" w:cs="Arial"/>
          <w:bCs/>
          <w:szCs w:val="20"/>
          <w:vertAlign w:val="superscript"/>
        </w:rPr>
        <w:t>2</w:t>
      </w:r>
      <w:r w:rsidRPr="00D91E23">
        <w:rPr>
          <w:rFonts w:eastAsia="Calibri" w:cs="Arial"/>
          <w:bCs/>
          <w:szCs w:val="20"/>
        </w:rPr>
        <w:t xml:space="preserve">.  </w:t>
      </w:r>
    </w:p>
    <w:p w:rsidR="0097551E" w:rsidRDefault="0097551E" w:rsidP="0097551E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 w:rsidRPr="00C9227B">
        <w:rPr>
          <w:rFonts w:eastAsia="Calibri" w:cs="Arial"/>
          <w:b/>
          <w:bCs/>
          <w:szCs w:val="20"/>
        </w:rPr>
        <w:t>Cesty</w:t>
      </w:r>
      <w:r w:rsidRPr="00D91E23"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 xml:space="preserve">budou </w:t>
      </w:r>
      <w:r w:rsidRPr="00D91E23">
        <w:rPr>
          <w:rFonts w:eastAsia="Calibri" w:cs="Arial"/>
          <w:bCs/>
          <w:szCs w:val="20"/>
        </w:rPr>
        <w:t>založ</w:t>
      </w:r>
      <w:r>
        <w:rPr>
          <w:rFonts w:eastAsia="Calibri" w:cs="Arial"/>
          <w:bCs/>
          <w:szCs w:val="20"/>
        </w:rPr>
        <w:t>eny</w:t>
      </w:r>
      <w:r w:rsidRPr="00D91E23">
        <w:rPr>
          <w:rFonts w:eastAsia="Calibri" w:cs="Arial"/>
          <w:bCs/>
          <w:szCs w:val="20"/>
        </w:rPr>
        <w:t xml:space="preserve"> na profilu o výšce 30 cm. Po odstranění vrchní vrstvy zeminy a dvou pařezů, které překáží uvažované zpevněné kruhové ploše kolem pomníku, bude zemní pláň zhutněna na požadovanou míru zhutnění a na ni položena netkaná geotextilie jako separační vrstva. Poté budou položeny podkladové vrstvy z drceného kameniva, které budou postupně zhutňovány. První vrstva </w:t>
      </w:r>
      <w:r>
        <w:rPr>
          <w:rFonts w:eastAsia="Calibri" w:cs="Arial"/>
          <w:bCs/>
          <w:szCs w:val="20"/>
        </w:rPr>
        <w:t xml:space="preserve">bude </w:t>
      </w:r>
      <w:r w:rsidRPr="00D91E23">
        <w:rPr>
          <w:rFonts w:eastAsia="Calibri" w:cs="Arial"/>
          <w:bCs/>
          <w:szCs w:val="20"/>
        </w:rPr>
        <w:t xml:space="preserve">z drceného kameniva frakce 0 – 63 mm v tloušťce 10 cm a druhá vrstva z drceného kameniva frakce 8 – 16 mm v tloušťce 5 cm. Na poslední podkladovou vrstvu </w:t>
      </w:r>
      <w:r>
        <w:rPr>
          <w:rFonts w:eastAsia="Calibri" w:cs="Arial"/>
          <w:bCs/>
          <w:szCs w:val="20"/>
        </w:rPr>
        <w:t xml:space="preserve">bude </w:t>
      </w:r>
      <w:r w:rsidRPr="00D91E23">
        <w:rPr>
          <w:rFonts w:eastAsia="Calibri" w:cs="Arial"/>
          <w:bCs/>
          <w:szCs w:val="20"/>
        </w:rPr>
        <w:t>opět polož</w:t>
      </w:r>
      <w:r>
        <w:rPr>
          <w:rFonts w:eastAsia="Calibri" w:cs="Arial"/>
          <w:bCs/>
          <w:szCs w:val="20"/>
        </w:rPr>
        <w:t>ena</w:t>
      </w:r>
      <w:r w:rsidRPr="00D91E23">
        <w:rPr>
          <w:rFonts w:eastAsia="Calibri" w:cs="Arial"/>
          <w:bCs/>
          <w:szCs w:val="20"/>
        </w:rPr>
        <w:t xml:space="preserve"> separační vrstv</w:t>
      </w:r>
      <w:r>
        <w:rPr>
          <w:rFonts w:eastAsia="Calibri" w:cs="Arial"/>
          <w:bCs/>
          <w:szCs w:val="20"/>
        </w:rPr>
        <w:t>a</w:t>
      </w:r>
      <w:r w:rsidRPr="00D91E23">
        <w:rPr>
          <w:rFonts w:eastAsia="Calibri" w:cs="Arial"/>
          <w:bCs/>
          <w:szCs w:val="20"/>
        </w:rPr>
        <w:t xml:space="preserve"> – netkan</w:t>
      </w:r>
      <w:r>
        <w:rPr>
          <w:rFonts w:eastAsia="Calibri" w:cs="Arial"/>
          <w:bCs/>
          <w:szCs w:val="20"/>
        </w:rPr>
        <w:t>á</w:t>
      </w:r>
      <w:r w:rsidRPr="00D91E23">
        <w:rPr>
          <w:rFonts w:eastAsia="Calibri" w:cs="Arial"/>
          <w:bCs/>
          <w:szCs w:val="20"/>
        </w:rPr>
        <w:t xml:space="preserve"> geotextili</w:t>
      </w:r>
      <w:r>
        <w:rPr>
          <w:rFonts w:eastAsia="Calibri" w:cs="Arial"/>
          <w:bCs/>
          <w:szCs w:val="20"/>
        </w:rPr>
        <w:t>e</w:t>
      </w:r>
      <w:r w:rsidRPr="00D91E23">
        <w:rPr>
          <w:rFonts w:eastAsia="Calibri" w:cs="Arial"/>
          <w:bCs/>
          <w:szCs w:val="20"/>
        </w:rPr>
        <w:t xml:space="preserve">, která zabrání možnému promíchání nestmelených materiálů různého zrnitostního složení vlivem působení vody či cyklického zatížení. Pro lemování cest </w:t>
      </w:r>
      <w:r>
        <w:rPr>
          <w:rFonts w:eastAsia="Calibri" w:cs="Arial"/>
          <w:bCs/>
          <w:szCs w:val="20"/>
        </w:rPr>
        <w:t xml:space="preserve">bude použit </w:t>
      </w:r>
      <w:r w:rsidRPr="00D91E23">
        <w:rPr>
          <w:rFonts w:eastAsia="Calibri" w:cs="Arial"/>
          <w:bCs/>
          <w:szCs w:val="20"/>
        </w:rPr>
        <w:t xml:space="preserve">„neviditelný“ plastový obrubník o výšce 10 cm, který umožní oddělit povrch cest z MZK od travnaté plochy kolem a nebude nijak narušovat </w:t>
      </w:r>
      <w:r w:rsidRPr="00D91E23">
        <w:rPr>
          <w:rFonts w:eastAsia="Calibri" w:cs="Arial"/>
          <w:bCs/>
          <w:szCs w:val="20"/>
        </w:rPr>
        <w:lastRenderedPageBreak/>
        <w:t xml:space="preserve">celkový vzhled hřbitova. Pro fixaci plastových obrubníků </w:t>
      </w:r>
      <w:r>
        <w:rPr>
          <w:rFonts w:eastAsia="Calibri" w:cs="Arial"/>
          <w:bCs/>
          <w:szCs w:val="20"/>
        </w:rPr>
        <w:t>bude</w:t>
      </w:r>
      <w:r w:rsidRPr="00D91E23">
        <w:rPr>
          <w:rFonts w:eastAsia="Calibri" w:cs="Arial"/>
          <w:bCs/>
          <w:szCs w:val="20"/>
        </w:rPr>
        <w:t xml:space="preserve"> nutné použít plastové hřeby nebo hřeby kovové, které jsou vhodnější do kamenných podloží. Dále bude provedena pokládka mechanicky zpevněného kameniva – minerálního betonu v tloušťce 15 cm</w:t>
      </w:r>
      <w:r w:rsidRPr="00C9227B">
        <w:rPr>
          <w:rFonts w:eastAsia="Calibri" w:cs="Arial"/>
          <w:bCs/>
          <w:szCs w:val="20"/>
        </w:rPr>
        <w:t xml:space="preserve">. V závěru </w:t>
      </w:r>
      <w:r w:rsidRPr="00D91E23">
        <w:rPr>
          <w:rFonts w:eastAsia="Calibri" w:cs="Arial"/>
          <w:bCs/>
          <w:szCs w:val="20"/>
        </w:rPr>
        <w:t>stavebních prací bude po obou vnějších krajích cest doplněna trávníková skladba.</w:t>
      </w:r>
      <w:r>
        <w:rPr>
          <w:rFonts w:eastAsia="Calibri" w:cs="Arial"/>
          <w:bCs/>
          <w:szCs w:val="20"/>
        </w:rPr>
        <w:t xml:space="preserve"> </w:t>
      </w:r>
      <w:r w:rsidRPr="00C9227B">
        <w:rPr>
          <w:rFonts w:eastAsia="Calibri" w:cs="Arial"/>
          <w:bCs/>
          <w:szCs w:val="20"/>
        </w:rPr>
        <w:t xml:space="preserve">Cihlová část vnějších zdí </w:t>
      </w:r>
      <w:r w:rsidRPr="00C9227B">
        <w:rPr>
          <w:rFonts w:eastAsia="Calibri" w:cs="Arial"/>
          <w:b/>
          <w:bCs/>
          <w:szCs w:val="20"/>
        </w:rPr>
        <w:t>márnice</w:t>
      </w:r>
      <w:r w:rsidRPr="00C9227B">
        <w:rPr>
          <w:rFonts w:eastAsia="Calibri" w:cs="Arial"/>
          <w:bCs/>
          <w:szCs w:val="20"/>
        </w:rPr>
        <w:t xml:space="preserve"> (pouze ty</w:t>
      </w:r>
      <w:r>
        <w:rPr>
          <w:rFonts w:eastAsia="Calibri" w:cs="Arial"/>
          <w:bCs/>
          <w:szCs w:val="20"/>
        </w:rPr>
        <w:t xml:space="preserve"> směrem do </w:t>
      </w:r>
      <w:r w:rsidRPr="00C9227B">
        <w:rPr>
          <w:rFonts w:eastAsia="Calibri" w:cs="Arial"/>
          <w:bCs/>
          <w:szCs w:val="20"/>
        </w:rPr>
        <w:t xml:space="preserve">hřbitova) budou očištěny a omítnuty škrábanou omítkou. Dveře a okno budou natřeny hnědou barvou. Terén před vchodovými dveřmi bude upraven a vysypán kačírkem frakce 8 – 16 mm.  </w:t>
      </w:r>
    </w:p>
    <w:p w:rsidR="0097551E" w:rsidRPr="00AA0CE2" w:rsidRDefault="0097551E" w:rsidP="0097551E">
      <w:pPr>
        <w:pStyle w:val="Standard"/>
        <w:ind w:firstLine="567"/>
        <w:jc w:val="both"/>
        <w:rPr>
          <w:rFonts w:eastAsia="Calibri" w:cs="Arial"/>
          <w:bCs/>
          <w:szCs w:val="20"/>
        </w:rPr>
      </w:pPr>
      <w:r>
        <w:rPr>
          <w:szCs w:val="20"/>
        </w:rPr>
        <w:t xml:space="preserve">Celý průběh bude dokumentován a následně z něj bude pořízena závěrečná zpráva. </w:t>
      </w:r>
      <w:r w:rsidRPr="00A22EE6">
        <w:rPr>
          <w:rFonts w:eastAsia="Calibri" w:cs="Calibri"/>
          <w:bCs/>
          <w:szCs w:val="20"/>
        </w:rPr>
        <w:t>Veškeré stavební práce budou provedeny dle „Všeobecných standardů staveb“.</w:t>
      </w:r>
    </w:p>
    <w:p w:rsidR="001B1534" w:rsidRDefault="001B1534" w:rsidP="00B97FF2">
      <w:pPr>
        <w:pStyle w:val="Standard"/>
        <w:spacing w:before="113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B97FF2" w:rsidRDefault="001B1534" w:rsidP="001B1534">
      <w:pPr>
        <w:pStyle w:val="Standard"/>
        <w:autoSpaceDE w:val="0"/>
        <w:spacing w:after="57"/>
        <w:jc w:val="both"/>
        <w:rPr>
          <w:rFonts w:eastAsia="Calibri" w:cs="Arial"/>
          <w:b/>
          <w:bCs/>
          <w:color w:val="000000"/>
          <w:szCs w:val="20"/>
        </w:rPr>
      </w:pPr>
      <w:r w:rsidRPr="00B97FF2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97551E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 w:after="57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1B1534">
      <w:pPr>
        <w:pStyle w:val="Standard"/>
        <w:spacing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B97FF2">
        <w:rPr>
          <w:rFonts w:eastAsia="Calibri" w:cs="Arial"/>
          <w:szCs w:val="20"/>
        </w:rPr>
        <w:t>, ul. Karla Havlíčka Borovského.</w:t>
      </w:r>
    </w:p>
    <w:p w:rsidR="001B1534" w:rsidRDefault="001B1534" w:rsidP="0097551E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200" w:after="57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Default="001B1534" w:rsidP="001B1534">
      <w:pPr>
        <w:pStyle w:val="Standard"/>
        <w:spacing w:before="57"/>
        <w:jc w:val="both"/>
      </w:pPr>
      <w:r>
        <w:t>Rozsah prací je uveden v</w:t>
      </w:r>
      <w:r w:rsidR="004C6F86">
        <w:t xml:space="preserve">e </w:t>
      </w:r>
      <w:r>
        <w:t>výkazu</w:t>
      </w:r>
      <w:r>
        <w:rPr>
          <w:rFonts w:eastAsia="Calibri" w:cs="Calibri"/>
          <w:color w:val="000000"/>
          <w:szCs w:val="20"/>
        </w:rPr>
        <w:t xml:space="preserve"> výměr.</w:t>
      </w:r>
    </w:p>
    <w:p w:rsidR="001B1534" w:rsidRDefault="001B1534" w:rsidP="0097551E">
      <w:pPr>
        <w:pStyle w:val="Standard"/>
        <w:jc w:val="both"/>
        <w:rPr>
          <w:rFonts w:eastAsia="Calibri" w:cs="Calibri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C7474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FE19BF" w:rsidRDefault="00CA548C" w:rsidP="004243BE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 xml:space="preserve">práce mohou začít neprodleně po podpisu smlouvy o dílo s vybraným zhotovitelem </w:t>
      </w:r>
      <w:r w:rsidR="001B1534" w:rsidRPr="00FE19BF">
        <w:rPr>
          <w:rFonts w:eastAsia="Calibri" w:cs="Arial"/>
          <w:szCs w:val="20"/>
        </w:rPr>
        <w:t>(</w:t>
      </w:r>
      <w:r w:rsidR="00CF31E3">
        <w:rPr>
          <w:rFonts w:eastAsia="Calibri" w:cs="Arial"/>
          <w:szCs w:val="20"/>
        </w:rPr>
        <w:t xml:space="preserve">nejdříve však </w:t>
      </w:r>
      <w:r w:rsidR="0097551E">
        <w:rPr>
          <w:rFonts w:eastAsia="Calibri" w:cs="Arial"/>
          <w:b/>
          <w:szCs w:val="20"/>
        </w:rPr>
        <w:t>20</w:t>
      </w:r>
      <w:r w:rsidR="007C5DEA" w:rsidRPr="004243BE">
        <w:rPr>
          <w:rFonts w:eastAsia="Calibri" w:cs="Arial"/>
          <w:b/>
          <w:szCs w:val="20"/>
        </w:rPr>
        <w:t>.</w:t>
      </w:r>
      <w:r w:rsidR="00CF31E3" w:rsidRPr="004243BE">
        <w:rPr>
          <w:rFonts w:eastAsia="Calibri" w:cs="Arial"/>
          <w:b/>
          <w:szCs w:val="20"/>
        </w:rPr>
        <w:t> </w:t>
      </w:r>
      <w:r w:rsidR="0097551E">
        <w:rPr>
          <w:rFonts w:eastAsia="Calibri" w:cs="Arial"/>
          <w:b/>
          <w:szCs w:val="20"/>
        </w:rPr>
        <w:t>července</w:t>
      </w:r>
      <w:r w:rsidR="001B1534" w:rsidRPr="004243BE">
        <w:rPr>
          <w:rFonts w:eastAsia="Calibri" w:cs="Arial"/>
          <w:b/>
          <w:szCs w:val="20"/>
        </w:rPr>
        <w:t xml:space="preserve"> 201</w:t>
      </w:r>
      <w:r w:rsidR="0097551E">
        <w:rPr>
          <w:rFonts w:eastAsia="Calibri" w:cs="Arial"/>
          <w:b/>
          <w:szCs w:val="20"/>
        </w:rPr>
        <w:t>7</w:t>
      </w:r>
      <w:r w:rsidR="001B1534" w:rsidRPr="00FE19BF">
        <w:rPr>
          <w:rFonts w:eastAsia="Calibri" w:cs="Arial"/>
          <w:szCs w:val="20"/>
        </w:rPr>
        <w:t>)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97551E">
        <w:rPr>
          <w:rFonts w:eastAsia="Calibri" w:cs="Arial"/>
          <w:b/>
          <w:szCs w:val="20"/>
        </w:rPr>
        <w:t>30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C62073">
        <w:rPr>
          <w:rFonts w:eastAsia="Calibri" w:cs="Arial"/>
          <w:b/>
          <w:szCs w:val="20"/>
        </w:rPr>
        <w:t>listopadu</w:t>
      </w:r>
      <w:r w:rsidR="006D275F">
        <w:rPr>
          <w:rFonts w:eastAsia="Calibri" w:cs="Arial"/>
          <w:b/>
          <w:szCs w:val="20"/>
        </w:rPr>
        <w:t xml:space="preserve"> </w:t>
      </w:r>
      <w:r w:rsidR="006F18CA" w:rsidRPr="004243BE">
        <w:rPr>
          <w:rFonts w:eastAsia="Calibri" w:cs="Arial"/>
          <w:b/>
          <w:szCs w:val="20"/>
        </w:rPr>
        <w:t>201</w:t>
      </w:r>
      <w:r w:rsidR="0097551E">
        <w:rPr>
          <w:rFonts w:eastAsia="Calibri" w:cs="Arial"/>
          <w:b/>
          <w:szCs w:val="20"/>
        </w:rPr>
        <w:t>7</w:t>
      </w:r>
    </w:p>
    <w:p w:rsidR="001B1534" w:rsidRPr="004243BE" w:rsidRDefault="001B1534" w:rsidP="004243BE">
      <w:pPr>
        <w:pStyle w:val="Standard"/>
        <w:spacing w:before="57" w:after="57"/>
        <w:ind w:left="352"/>
        <w:jc w:val="both"/>
        <w:rPr>
          <w:rFonts w:eastAsia="Calibri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Uchazeč stanoví nabídkovou cenu za celé plnění veřejné zakázky. Nabídková cena bude zpracována v souladu s položkovým rozpočtem, kter</w:t>
      </w:r>
      <w:r w:rsidR="0046390B">
        <w:rPr>
          <w:rFonts w:eastAsia="Calibri" w:cs="Calibri"/>
          <w:color w:val="000000"/>
          <w:szCs w:val="20"/>
        </w:rPr>
        <w:t>ý</w:t>
      </w:r>
      <w:r>
        <w:rPr>
          <w:rFonts w:eastAsia="Calibri" w:cs="Calibri"/>
          <w:color w:val="000000"/>
          <w:szCs w:val="20"/>
        </w:rPr>
        <w:t xml:space="preserve">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</w:t>
      </w:r>
    </w:p>
    <w:p w:rsidR="009501E4" w:rsidRPr="00512D5F" w:rsidRDefault="001B1534" w:rsidP="009501E4">
      <w:pPr>
        <w:pStyle w:val="Standard"/>
        <w:spacing w:before="57"/>
        <w:jc w:val="both"/>
        <w:rPr>
          <w:rFonts w:eastAsia="Calibri" w:cs="Times New Roman"/>
          <w:b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</w:t>
      </w:r>
      <w:r w:rsidR="004C6F86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>
        <w:rPr>
          <w:rFonts w:eastAsia="Calibri" w:cs="Calibri"/>
          <w:color w:val="000000"/>
          <w:szCs w:val="20"/>
        </w:rPr>
        <w:t xml:space="preserve"> ve formátu </w:t>
      </w:r>
      <w:r w:rsidR="00B97FF2">
        <w:rPr>
          <w:rFonts w:eastAsia="Calibri" w:cs="Calibri"/>
          <w:color w:val="000000"/>
          <w:szCs w:val="20"/>
        </w:rPr>
        <w:t>XLS</w:t>
      </w:r>
      <w:r>
        <w:rPr>
          <w:rFonts w:eastAsia="Calibri" w:cs="Calibri"/>
          <w:color w:val="000000"/>
          <w:szCs w:val="20"/>
        </w:rPr>
        <w:t xml:space="preserve"> (003_Kryci_list_vzor.xls), který je součástí zadávací dokumentace.</w:t>
      </w:r>
      <w:r w:rsidR="009501E4">
        <w:rPr>
          <w:rFonts w:eastAsia="Calibri" w:cs="Calibri"/>
          <w:color w:val="000000"/>
          <w:szCs w:val="20"/>
        </w:rPr>
        <w:t xml:space="preserve"> </w:t>
      </w:r>
      <w:r w:rsidR="009501E4" w:rsidRPr="00512D5F">
        <w:rPr>
          <w:rFonts w:eastAsia="Calibri" w:cs="Times New Roman"/>
          <w:b/>
          <w:color w:val="000000"/>
          <w:szCs w:val="20"/>
        </w:rPr>
        <w:t xml:space="preserve">Předpokládaná cena této zakázky je </w:t>
      </w:r>
      <w:r w:rsidR="0097551E">
        <w:rPr>
          <w:rFonts w:eastAsia="Calibri" w:cs="Times New Roman"/>
          <w:b/>
          <w:color w:val="000000"/>
          <w:szCs w:val="20"/>
        </w:rPr>
        <w:t>4</w:t>
      </w:r>
      <w:r w:rsidR="00C62073">
        <w:rPr>
          <w:rFonts w:eastAsia="Calibri" w:cs="Times New Roman"/>
          <w:b/>
          <w:color w:val="000000"/>
          <w:szCs w:val="20"/>
        </w:rPr>
        <w:t>15</w:t>
      </w:r>
      <w:r w:rsidR="009501E4" w:rsidRPr="00512D5F">
        <w:rPr>
          <w:rFonts w:eastAsia="Calibri" w:cs="Times New Roman"/>
          <w:b/>
          <w:color w:val="000000"/>
          <w:szCs w:val="20"/>
        </w:rPr>
        <w:t>.000 Kč</w:t>
      </w:r>
      <w:r w:rsidR="00C62073">
        <w:rPr>
          <w:rFonts w:eastAsia="Calibri" w:cs="Times New Roman"/>
          <w:b/>
          <w:color w:val="000000"/>
          <w:szCs w:val="20"/>
        </w:rPr>
        <w:t xml:space="preserve"> bez DPH</w:t>
      </w:r>
      <w:r w:rsidR="009501E4" w:rsidRPr="00512D5F">
        <w:rPr>
          <w:rFonts w:eastAsia="Calibri" w:cs="Times New Roman"/>
          <w:b/>
          <w:color w:val="000000"/>
          <w:szCs w:val="20"/>
        </w:rPr>
        <w:t>.</w:t>
      </w:r>
    </w:p>
    <w:p w:rsidR="001B1534" w:rsidRPr="00B97FF2" w:rsidRDefault="001B1534" w:rsidP="00B97FF2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</w:t>
      </w:r>
      <w:r w:rsidR="004C6F86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 xml:space="preserve">bude uvedena v CZK a doplněna v návrhu smlouvy o dílo – odstavec </w:t>
      </w:r>
      <w:r w:rsidR="006F18CA">
        <w:rPr>
          <w:rFonts w:eastAsia="Calibri" w:cs="Calibri"/>
          <w:color w:val="000000"/>
          <w:szCs w:val="20"/>
        </w:rPr>
        <w:t>5. 1</w:t>
      </w:r>
      <w:r>
        <w:rPr>
          <w:rFonts w:eastAsia="Calibri" w:cs="Calibri"/>
          <w:color w:val="000000"/>
          <w:szCs w:val="20"/>
        </w:rPr>
        <w:t>.</w:t>
      </w:r>
      <w:r w:rsidR="0046390B">
        <w:rPr>
          <w:rFonts w:eastAsia="Calibri" w:cs="Calibri"/>
          <w:color w:val="000000"/>
          <w:szCs w:val="20"/>
        </w:rPr>
        <w:t xml:space="preserve"> </w:t>
      </w:r>
      <w:r>
        <w:rPr>
          <w:rFonts w:eastAsia="Calibri" w:cs="Calibri"/>
          <w:color w:val="000000"/>
          <w:szCs w:val="20"/>
        </w:rPr>
        <w:t>(vzor součástí zadávací dokumentace).</w:t>
      </w:r>
      <w:r w:rsidR="00B97FF2">
        <w:rPr>
          <w:rFonts w:eastAsia="Calibri" w:cs="Calibri"/>
          <w:szCs w:val="20"/>
        </w:rPr>
        <w:t xml:space="preserve"> </w:t>
      </w:r>
      <w:r w:rsidRPr="00503976">
        <w:rPr>
          <w:b/>
        </w:rPr>
        <w:t xml:space="preserve">Nabídková cena </w:t>
      </w:r>
      <w:r w:rsidR="004C6F86" w:rsidRPr="00503976">
        <w:rPr>
          <w:b/>
        </w:rPr>
        <w:t>bez DPH</w:t>
      </w:r>
      <w:r w:rsidR="004C6F86" w:rsidRPr="00503976">
        <w:t xml:space="preserve"> </w:t>
      </w:r>
      <w:r>
        <w:t>je předmětem hodnocení.</w:t>
      </w:r>
      <w:r w:rsidR="009501E4">
        <w:t xml:space="preserve"> </w:t>
      </w:r>
    </w:p>
    <w:p w:rsidR="00B81463" w:rsidRDefault="00B81463" w:rsidP="00B81463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p w:rsidR="002E4618" w:rsidRDefault="002E4618" w:rsidP="002E4618">
      <w:pPr>
        <w:pStyle w:val="Standard"/>
        <w:jc w:val="both"/>
        <w:rPr>
          <w:rFonts w:eastAsia="Calibri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9501E4" w:rsidRDefault="009501E4" w:rsidP="006D6F30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</w:p>
    <w:p w:rsidR="001B1534" w:rsidRDefault="001B1534" w:rsidP="006D6F30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lastRenderedPageBreak/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7551E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  <w:r w:rsidR="006E5F44">
        <w:rPr>
          <w:rFonts w:eastAsia="Calibri" w:cs="Arial"/>
          <w:szCs w:val="20"/>
        </w:rPr>
        <w:t xml:space="preserve"> 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CF31E3">
        <w:rPr>
          <w:rFonts w:eastAsia="ArialMT, 'Times New Roman'" w:cs="Arial"/>
          <w:szCs w:val="20"/>
        </w:rPr>
        <w:t xml:space="preserve">minimálně </w:t>
      </w:r>
      <w:r w:rsidR="00CF31E3" w:rsidRPr="00CF31E3">
        <w:rPr>
          <w:rFonts w:eastAsia="ArialMT, 'Times New Roman'" w:cs="Arial"/>
          <w:szCs w:val="20"/>
        </w:rPr>
        <w:t>3</w:t>
      </w:r>
      <w:r w:rsidRPr="00CF31E3">
        <w:rPr>
          <w:rFonts w:eastAsia="ArialMT, 'Times New Roman'" w:cs="Arial"/>
          <w:szCs w:val="20"/>
        </w:rPr>
        <w:t xml:space="preserve"> zakázek obdobného charakteru </w:t>
      </w:r>
      <w:r w:rsidRPr="00503976">
        <w:rPr>
          <w:rFonts w:eastAsia="ArialMT, 'Times New Roman'" w:cs="Arial"/>
          <w:szCs w:val="20"/>
        </w:rPr>
        <w:t>(</w:t>
      </w:r>
      <w:r w:rsidR="00003CDC" w:rsidRPr="00503976">
        <w:t xml:space="preserve">reference na </w:t>
      </w:r>
      <w:r w:rsidR="0097551E">
        <w:t>obnovy cest tohoto typu</w:t>
      </w:r>
      <w:r w:rsidR="009501E4">
        <w:t xml:space="preserve"> či podobné stavební práce</w:t>
      </w:r>
      <w:r w:rsidR="00B97FF2">
        <w:t xml:space="preserve"> v </w:t>
      </w:r>
      <w:r w:rsidR="00B97FF2" w:rsidRPr="00B72BCB">
        <w:t xml:space="preserve">hodnotě minimálně </w:t>
      </w:r>
      <w:r w:rsidR="00B57856">
        <w:t>350</w:t>
      </w:r>
      <w:r w:rsidR="00B97FF2" w:rsidRPr="00B72BCB">
        <w:t>.000 Kč</w:t>
      </w:r>
      <w:r w:rsidR="00DC7EEA" w:rsidRPr="00503976">
        <w:rPr>
          <w:rFonts w:eastAsia="ArialMT, 'Times New Roman'" w:cs="Arial"/>
          <w:szCs w:val="20"/>
        </w:rPr>
        <w:t>)</w:t>
      </w:r>
      <w:r w:rsidRPr="00503976">
        <w:rPr>
          <w:rFonts w:eastAsia="ArialMT, 'Times New Roman'" w:cs="Arial"/>
          <w:szCs w:val="20"/>
        </w:rPr>
        <w:t xml:space="preserve">, které uchazeč vykonal v průběhu posledních 5 let.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 </w:t>
      </w:r>
      <w:r>
        <w:rPr>
          <w:rFonts w:eastAsia="ArialMT, 'Times New Roman'" w:cs="Arial"/>
          <w:szCs w:val="20"/>
        </w:rPr>
        <w:t xml:space="preserve">prací - odstavec 4.1, </w:t>
      </w:r>
      <w:r>
        <w:rPr>
          <w:rFonts w:eastAsia="ArialMT, 'Times New Roman'" w:cs="Arial"/>
          <w:b/>
          <w:bCs/>
          <w:szCs w:val="20"/>
        </w:rPr>
        <w:t>cenu</w:t>
      </w:r>
      <w:r>
        <w:rPr>
          <w:rFonts w:eastAsia="ArialMT, 'Times New Roman'" w:cs="Arial"/>
          <w:szCs w:val="20"/>
        </w:rPr>
        <w:t xml:space="preserve"> 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</w:p>
    <w:p w:rsidR="001B1534" w:rsidRDefault="001B1534" w:rsidP="00CF474E">
      <w:pPr>
        <w:pStyle w:val="Standard"/>
        <w:autoSpaceDE w:val="0"/>
        <w:spacing w:after="113"/>
        <w:ind w:left="350" w:hanging="6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Smlouva bude podepsaná osobou oprávněnou jednat jménem uchazeče.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nabídkovou cenu za celé plnění veřejné zakázky. Nabídková cena bude zpracována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97551E">
      <w:pPr>
        <w:pStyle w:val="Standard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p w:rsidR="0097551E" w:rsidRDefault="0097551E" w:rsidP="0097551E">
      <w:pPr>
        <w:pStyle w:val="Standard"/>
        <w:ind w:left="363" w:hanging="363"/>
        <w:jc w:val="both"/>
        <w:rPr>
          <w:rFonts w:eastAsia="Calibr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9501E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>
              <w:rPr>
                <w:rFonts w:ascii="Times New Roman" w:hAnsi="Times New Roman"/>
                <w:sz w:val="24"/>
              </w:rPr>
              <w:br w:type="page"/>
            </w:r>
            <w:r w:rsidR="006E5F44">
              <w:br w:type="page"/>
            </w:r>
            <w:r w:rsidR="00A47274">
              <w:br w:type="page"/>
            </w:r>
            <w:r w:rsidR="00A47274">
              <w:rPr>
                <w:rFonts w:eastAsia="Calibri" w:cs="Calibri"/>
                <w:b/>
                <w:bCs/>
                <w:szCs w:val="20"/>
              </w:rPr>
              <w:br w:type="page"/>
            </w:r>
            <w:r w:rsidR="00A47274">
              <w:rPr>
                <w:rFonts w:ascii="Times New Roman" w:hAnsi="Times New Roman"/>
                <w:sz w:val="24"/>
              </w:rP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97551E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ust</w:t>
      </w:r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6D6F30">
      <w:pPr>
        <w:pStyle w:val="Standard"/>
        <w:numPr>
          <w:ilvl w:val="1"/>
          <w:numId w:val="21"/>
        </w:numPr>
        <w:spacing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97551E" w:rsidRDefault="0097551E">
      <w:pPr>
        <w:widowControl/>
        <w:suppressAutoHyphens w:val="0"/>
        <w:autoSpaceDN/>
        <w:textAlignment w:val="auto"/>
        <w:rPr>
          <w:rFonts w:ascii="Calibri" w:eastAsia="Calibri" w:hAnsi="Calibri" w:cs="Arial"/>
          <w:sz w:val="20"/>
          <w:szCs w:val="20"/>
        </w:rPr>
      </w:pPr>
      <w:r>
        <w:rPr>
          <w:rFonts w:eastAsia="Calibri" w:cs="Arial"/>
          <w:szCs w:val="20"/>
        </w:rPr>
        <w:br w:type="page"/>
      </w:r>
    </w:p>
    <w:p w:rsidR="001B1534" w:rsidRDefault="001B1534" w:rsidP="002E461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lastRenderedPageBreak/>
        <w:t>Uchazeč bere na vědomí informaci, že se nejedná o zadávací říze</w:t>
      </w:r>
      <w:r w:rsidR="00FE3D6F">
        <w:rPr>
          <w:rFonts w:eastAsia="Calibri" w:cs="Arial"/>
          <w:szCs w:val="20"/>
        </w:rPr>
        <w:t>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FE3D6F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FE3D6F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Pr="00FE3D6F" w:rsidRDefault="001B1534" w:rsidP="004B1D26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bCs/>
          <w:szCs w:val="20"/>
        </w:rPr>
      </w:pPr>
      <w:r w:rsidRPr="00FE3D6F">
        <w:rPr>
          <w:rFonts w:eastAsia="Calibri" w:cs="Arial"/>
          <w:szCs w:val="20"/>
        </w:rPr>
        <w:t>Zadavatel</w:t>
      </w:r>
      <w:r w:rsidRPr="00FE3D6F">
        <w:rPr>
          <w:rFonts w:eastAsia="Calibri" w:cs="Arial"/>
          <w:bCs/>
          <w:szCs w:val="20"/>
        </w:rPr>
        <w:t xml:space="preserve"> si vyhrazuje právo požadovat doplňující informace či vysvětlení k podané nabídce uchazeče.</w:t>
      </w:r>
    </w:p>
    <w:p w:rsidR="00F70C82" w:rsidRDefault="00F70C82" w:rsidP="004B1D26">
      <w:pPr>
        <w:pStyle w:val="Standard"/>
        <w:ind w:left="350" w:hanging="363"/>
        <w:jc w:val="both"/>
        <w:rPr>
          <w:rFonts w:eastAsia="ArialMT, 'Times New Roman'" w:cs="Arial"/>
          <w:color w:val="00000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A HODNOCENÍ NABÍDEK</w:t>
            </w:r>
          </w:p>
        </w:tc>
      </w:tr>
    </w:tbl>
    <w:p w:rsidR="001B1534" w:rsidRPr="00CF474E" w:rsidRDefault="001B1534" w:rsidP="004B1D26">
      <w:pPr>
        <w:pStyle w:val="Standard"/>
        <w:spacing w:before="57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 xml:space="preserve">nabídkové ceny </w:t>
      </w:r>
      <w:r w:rsidR="00503976" w:rsidRPr="00503976">
        <w:rPr>
          <w:rFonts w:eastAsia="Calibri" w:cs="Calibri"/>
          <w:b/>
          <w:szCs w:val="20"/>
        </w:rPr>
        <w:t>bez</w:t>
      </w:r>
      <w:r w:rsidRPr="00503976">
        <w:rPr>
          <w:rFonts w:eastAsia="Calibri" w:cs="Calibri"/>
          <w:b/>
          <w:szCs w:val="20"/>
        </w:rPr>
        <w:t xml:space="preserve">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  <w:r w:rsidR="009501E4">
        <w:rPr>
          <w:rFonts w:eastAsia="Calibri" w:cs="Calibri"/>
          <w:szCs w:val="20"/>
        </w:rPr>
        <w:t xml:space="preserve"> </w:t>
      </w:r>
      <w:r w:rsidR="009501E4" w:rsidRPr="00512D5F">
        <w:rPr>
          <w:rFonts w:eastAsia="Calibri" w:cs="Times New Roman"/>
          <w:b/>
          <w:color w:val="000000"/>
          <w:szCs w:val="20"/>
        </w:rPr>
        <w:t xml:space="preserve">Předpokládaná cena této zakázky je </w:t>
      </w:r>
      <w:r w:rsidR="00FE3D6F">
        <w:rPr>
          <w:rFonts w:eastAsia="Calibri" w:cs="Times New Roman"/>
          <w:b/>
          <w:color w:val="000000"/>
          <w:szCs w:val="20"/>
        </w:rPr>
        <w:t>4</w:t>
      </w:r>
      <w:r w:rsidR="00C62073">
        <w:rPr>
          <w:rFonts w:eastAsia="Calibri" w:cs="Times New Roman"/>
          <w:b/>
          <w:color w:val="000000"/>
          <w:szCs w:val="20"/>
        </w:rPr>
        <w:t>15.</w:t>
      </w:r>
      <w:r w:rsidR="009501E4" w:rsidRPr="00512D5F">
        <w:rPr>
          <w:rFonts w:eastAsia="Calibri" w:cs="Times New Roman"/>
          <w:b/>
          <w:color w:val="000000"/>
          <w:szCs w:val="20"/>
        </w:rPr>
        <w:t>000 Kč</w:t>
      </w:r>
      <w:r w:rsidR="00C62073">
        <w:rPr>
          <w:rFonts w:eastAsia="Calibri" w:cs="Times New Roman"/>
          <w:b/>
          <w:color w:val="000000"/>
          <w:szCs w:val="20"/>
        </w:rPr>
        <w:t xml:space="preserve"> bez DPH</w:t>
      </w:r>
      <w:r w:rsidR="009501E4" w:rsidRPr="00512D5F">
        <w:rPr>
          <w:rFonts w:eastAsia="Calibri" w:cs="Times New Roman"/>
          <w:b/>
          <w:color w:val="000000"/>
          <w:szCs w:val="20"/>
        </w:rPr>
        <w:t>.</w:t>
      </w:r>
    </w:p>
    <w:p w:rsidR="001B1534" w:rsidRDefault="001B1534" w:rsidP="004B1D26">
      <w:pPr>
        <w:pStyle w:val="Standard"/>
        <w:ind w:left="350" w:hanging="36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786228">
      <w:pPr>
        <w:pStyle w:val="Standard"/>
        <w:spacing w:before="57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CF474E" w:rsidRPr="00FE3D6F" w:rsidRDefault="00CF474E" w:rsidP="00503976">
      <w:pPr>
        <w:pStyle w:val="Standard"/>
        <w:spacing w:before="120" w:after="120"/>
        <w:jc w:val="center"/>
        <w:rPr>
          <w:sz w:val="21"/>
          <w:szCs w:val="21"/>
        </w:rPr>
      </w:pPr>
      <w:r w:rsidRPr="00FE3D6F">
        <w:rPr>
          <w:rFonts w:cs="Arial"/>
          <w:b/>
          <w:bCs/>
          <w:sz w:val="21"/>
          <w:szCs w:val="21"/>
        </w:rPr>
        <w:t xml:space="preserve">„Neotevírat – VZ č. </w:t>
      </w:r>
      <w:r w:rsidR="00FE3D6F" w:rsidRPr="00FE3D6F">
        <w:rPr>
          <w:rFonts w:eastAsia="Arial" w:cs="Arial"/>
          <w:b/>
          <w:bCs/>
          <w:sz w:val="21"/>
          <w:szCs w:val="21"/>
        </w:rPr>
        <w:t>2017</w:t>
      </w:r>
      <w:r w:rsidRPr="00FE3D6F">
        <w:rPr>
          <w:rFonts w:eastAsia="Arial" w:cs="Arial"/>
          <w:b/>
          <w:bCs/>
          <w:sz w:val="21"/>
          <w:szCs w:val="21"/>
        </w:rPr>
        <w:t>00</w:t>
      </w:r>
      <w:r w:rsidR="00FE3D6F" w:rsidRPr="00FE3D6F">
        <w:rPr>
          <w:rFonts w:eastAsia="Arial" w:cs="Arial"/>
          <w:b/>
          <w:bCs/>
          <w:sz w:val="21"/>
          <w:szCs w:val="21"/>
        </w:rPr>
        <w:t>5</w:t>
      </w:r>
      <w:r w:rsidRPr="00FE3D6F">
        <w:rPr>
          <w:rFonts w:eastAsia="Arial" w:cs="Arial"/>
          <w:sz w:val="21"/>
          <w:szCs w:val="21"/>
        </w:rPr>
        <w:t xml:space="preserve"> </w:t>
      </w:r>
      <w:r w:rsidRPr="00FE3D6F">
        <w:rPr>
          <w:rFonts w:cs="Arial"/>
          <w:b/>
          <w:bCs/>
          <w:sz w:val="21"/>
          <w:szCs w:val="21"/>
        </w:rPr>
        <w:t xml:space="preserve">– </w:t>
      </w:r>
      <w:r w:rsidR="00FE3D6F" w:rsidRPr="00FE3D6F">
        <w:rPr>
          <w:rFonts w:cs="Arial"/>
          <w:b/>
          <w:bCs/>
          <w:sz w:val="21"/>
          <w:szCs w:val="21"/>
        </w:rPr>
        <w:t>Obnova páteřních cest a oprava márnice na hřbitově</w:t>
      </w:r>
      <w:r w:rsidR="004B1D26" w:rsidRPr="00FE3D6F">
        <w:rPr>
          <w:rFonts w:cs="Arial"/>
          <w:b/>
          <w:bCs/>
          <w:sz w:val="21"/>
          <w:szCs w:val="21"/>
        </w:rPr>
        <w:t xml:space="preserve"> ve Vysokém nad Jizerou</w:t>
      </w:r>
      <w:r w:rsidRPr="00FE3D6F">
        <w:rPr>
          <w:rFonts w:cs="Arial"/>
          <w:b/>
          <w:bCs/>
          <w:sz w:val="21"/>
          <w:szCs w:val="21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CF474E" w:rsidRDefault="00CF474E" w:rsidP="00CF474E">
      <w:pPr>
        <w:pStyle w:val="Standard"/>
        <w:jc w:val="both"/>
        <w:rPr>
          <w:rFonts w:cs="Arial"/>
          <w:szCs w:val="20"/>
        </w:rPr>
      </w:pPr>
    </w:p>
    <w:p w:rsidR="001B1534" w:rsidRDefault="00CF474E" w:rsidP="00CF474E">
      <w:pPr>
        <w:pStyle w:val="Standard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p w:rsidR="001B1534" w:rsidRDefault="001B1534" w:rsidP="001B1534">
      <w:pPr>
        <w:pStyle w:val="Standard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v </w:t>
      </w:r>
      <w:r w:rsidR="006D275F">
        <w:rPr>
          <w:rFonts w:eastAsia="Calibri" w:cs="Calibri"/>
          <w:b/>
          <w:bCs/>
          <w:szCs w:val="20"/>
        </w:rPr>
        <w:t>úterý</w:t>
      </w:r>
      <w:r>
        <w:rPr>
          <w:rFonts w:eastAsia="Calibri" w:cs="Calibri"/>
          <w:b/>
          <w:bCs/>
          <w:szCs w:val="20"/>
        </w:rPr>
        <w:t xml:space="preserve"> </w:t>
      </w:r>
      <w:r w:rsidR="006D275F">
        <w:rPr>
          <w:rFonts w:eastAsia="Calibri" w:cs="Calibri"/>
          <w:b/>
          <w:bCs/>
          <w:szCs w:val="20"/>
        </w:rPr>
        <w:t>1</w:t>
      </w:r>
      <w:r w:rsidR="00FE3D6F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 xml:space="preserve">. </w:t>
      </w:r>
      <w:r w:rsidR="006D275F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201</w:t>
      </w:r>
      <w:r w:rsidR="00FE3D6F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FE3D6F">
        <w:rPr>
          <w:rFonts w:eastAsia="Calibri" w:cs="Calibri"/>
          <w:b/>
          <w:bCs/>
          <w:szCs w:val="20"/>
        </w:rPr>
        <w:t>2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E4618" w:rsidRPr="00CA5987" w:rsidTr="00CA598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9A350C">
        <w:rPr>
          <w:noProof/>
          <w:lang w:eastAsia="cs-CZ" w:bidi="ar-SA"/>
        </w:rPr>
        <w:drawing>
          <wp:inline distT="0" distB="0" distL="0" distR="0">
            <wp:extent cx="1419225" cy="1019175"/>
            <wp:effectExtent l="19050" t="0" r="9525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6F7BEA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A517C3">
              <w:rPr>
                <w:szCs w:val="20"/>
              </w:rPr>
              <w:fldChar w:fldCharType="begin"/>
            </w:r>
            <w:r w:rsidR="00A517C3">
              <w:rPr>
                <w:szCs w:val="20"/>
              </w:rPr>
              <w:instrText xml:space="preserve"> DATE \@ "d'. 'M'. 'yyyy" </w:instrText>
            </w:r>
            <w:r w:rsidR="00A517C3">
              <w:rPr>
                <w:szCs w:val="20"/>
              </w:rPr>
              <w:fldChar w:fldCharType="separate"/>
            </w:r>
            <w:r w:rsidR="001D0EA1">
              <w:rPr>
                <w:noProof/>
                <w:szCs w:val="20"/>
              </w:rPr>
              <w:t>27. 6. 2017</w:t>
            </w:r>
            <w:r w:rsidR="00A517C3"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6E371D">
          <w:headerReference w:type="default" r:id="rId9"/>
          <w:footerReference w:type="default" r:id="rId10"/>
          <w:pgSz w:w="11906" w:h="16838"/>
          <w:pgMar w:top="2552" w:right="1134" w:bottom="1701" w:left="1134" w:header="567" w:footer="567" w:gutter="0"/>
          <w:cols w:space="708"/>
        </w:sectPr>
      </w:pPr>
    </w:p>
    <w:p w:rsidR="009E0244" w:rsidRPr="00B57856" w:rsidRDefault="009E0244">
      <w:pPr>
        <w:pStyle w:val="Standard"/>
        <w:spacing w:after="57"/>
        <w:jc w:val="both"/>
        <w:rPr>
          <w:rFonts w:eastAsia="Calibri" w:cs="Arial"/>
          <w:b/>
          <w:szCs w:val="20"/>
        </w:rPr>
      </w:pPr>
    </w:p>
    <w:sectPr w:rsidR="009E0244" w:rsidRPr="00B57856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51E" w:rsidRDefault="0097551E">
      <w:r>
        <w:separator/>
      </w:r>
    </w:p>
  </w:endnote>
  <w:endnote w:type="continuationSeparator" w:id="0">
    <w:p w:rsidR="0097551E" w:rsidRDefault="00975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51E" w:rsidRDefault="001D0EA1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97551E" w:rsidRDefault="0097551E">
    <w:pPr>
      <w:pStyle w:val="Standard"/>
      <w:jc w:val="center"/>
      <w:rPr>
        <w:rFonts w:cs="Arial"/>
        <w:sz w:val="12"/>
        <w:szCs w:val="12"/>
      </w:rPr>
    </w:pPr>
  </w:p>
  <w:p w:rsidR="0097551E" w:rsidRDefault="0097551E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97551E" w:rsidRDefault="0097551E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97551E" w:rsidRDefault="0097551E">
    <w:pPr>
      <w:pStyle w:val="Standard"/>
      <w:jc w:val="center"/>
    </w:pPr>
  </w:p>
  <w:p w:rsidR="0097551E" w:rsidRDefault="0097551E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D0EA1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1D0EA1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51E" w:rsidRDefault="0097551E">
      <w:r>
        <w:rPr>
          <w:color w:val="000000"/>
        </w:rPr>
        <w:separator/>
      </w:r>
    </w:p>
  </w:footnote>
  <w:footnote w:type="continuationSeparator" w:id="0">
    <w:p w:rsidR="0097551E" w:rsidRDefault="00975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97551E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97551E" w:rsidRDefault="0097551E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6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97551E" w:rsidRDefault="0097551E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97551E" w:rsidRDefault="0097551E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97551E" w:rsidRDefault="0097551E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97551E" w:rsidRDefault="0097551E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97551E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97551E" w:rsidRDefault="001D0EA1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97551E" w:rsidRDefault="0097551E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4284E10"/>
    <w:multiLevelType w:val="multilevel"/>
    <w:tmpl w:val="E19A6B42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0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1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4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7"/>
  </w:num>
  <w:num w:numId="5">
    <w:abstractNumId w:val="10"/>
  </w:num>
  <w:num w:numId="6">
    <w:abstractNumId w:val="6"/>
  </w:num>
  <w:num w:numId="7">
    <w:abstractNumId w:val="6"/>
  </w:num>
  <w:num w:numId="8">
    <w:abstractNumId w:val="10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0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8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8"/>
  </w:num>
  <w:num w:numId="20">
    <w:abstractNumId w:val="11"/>
  </w:num>
  <w:num w:numId="21">
    <w:abstractNumId w:val="9"/>
  </w:num>
  <w:num w:numId="22">
    <w:abstractNumId w:val="15"/>
  </w:num>
  <w:num w:numId="23">
    <w:abstractNumId w:val="1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646CB"/>
    <w:rsid w:val="00064709"/>
    <w:rsid w:val="000925B2"/>
    <w:rsid w:val="00094BD3"/>
    <w:rsid w:val="000C7DE3"/>
    <w:rsid w:val="000D6E02"/>
    <w:rsid w:val="001176FE"/>
    <w:rsid w:val="001A0641"/>
    <w:rsid w:val="001A7593"/>
    <w:rsid w:val="001B1534"/>
    <w:rsid w:val="001B1923"/>
    <w:rsid w:val="001B669C"/>
    <w:rsid w:val="001D0EA1"/>
    <w:rsid w:val="0020093B"/>
    <w:rsid w:val="002171CB"/>
    <w:rsid w:val="00242912"/>
    <w:rsid w:val="002A04E6"/>
    <w:rsid w:val="002B44A3"/>
    <w:rsid w:val="002D1228"/>
    <w:rsid w:val="002D6F68"/>
    <w:rsid w:val="002E4618"/>
    <w:rsid w:val="0033092C"/>
    <w:rsid w:val="003331DB"/>
    <w:rsid w:val="003C4D84"/>
    <w:rsid w:val="003F09A4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67C25"/>
    <w:rsid w:val="00577ED9"/>
    <w:rsid w:val="0059035F"/>
    <w:rsid w:val="0059345A"/>
    <w:rsid w:val="00595759"/>
    <w:rsid w:val="005C609F"/>
    <w:rsid w:val="005E1814"/>
    <w:rsid w:val="005E5329"/>
    <w:rsid w:val="005F30C0"/>
    <w:rsid w:val="00680E81"/>
    <w:rsid w:val="006D275F"/>
    <w:rsid w:val="006D6F30"/>
    <w:rsid w:val="006E371D"/>
    <w:rsid w:val="006E5F44"/>
    <w:rsid w:val="006F18CA"/>
    <w:rsid w:val="006F37DF"/>
    <w:rsid w:val="006F7BEA"/>
    <w:rsid w:val="00786228"/>
    <w:rsid w:val="007A6261"/>
    <w:rsid w:val="007A6AAA"/>
    <w:rsid w:val="007B1C3F"/>
    <w:rsid w:val="007C5DEA"/>
    <w:rsid w:val="007F7332"/>
    <w:rsid w:val="00807AE7"/>
    <w:rsid w:val="008C7474"/>
    <w:rsid w:val="008E11EB"/>
    <w:rsid w:val="008F31A0"/>
    <w:rsid w:val="00910D2B"/>
    <w:rsid w:val="0092110B"/>
    <w:rsid w:val="00933895"/>
    <w:rsid w:val="009501E4"/>
    <w:rsid w:val="0097551E"/>
    <w:rsid w:val="00993991"/>
    <w:rsid w:val="00996C30"/>
    <w:rsid w:val="009A350C"/>
    <w:rsid w:val="009D14CD"/>
    <w:rsid w:val="009D5880"/>
    <w:rsid w:val="009E0244"/>
    <w:rsid w:val="009E4AAC"/>
    <w:rsid w:val="00A22CAD"/>
    <w:rsid w:val="00A24E7D"/>
    <w:rsid w:val="00A47274"/>
    <w:rsid w:val="00A517C3"/>
    <w:rsid w:val="00AA2A6B"/>
    <w:rsid w:val="00AD50A8"/>
    <w:rsid w:val="00B246E7"/>
    <w:rsid w:val="00B34F4B"/>
    <w:rsid w:val="00B57856"/>
    <w:rsid w:val="00B57DCC"/>
    <w:rsid w:val="00B81463"/>
    <w:rsid w:val="00B84BFF"/>
    <w:rsid w:val="00B92D0A"/>
    <w:rsid w:val="00B97FF2"/>
    <w:rsid w:val="00BB0D6E"/>
    <w:rsid w:val="00BB35F3"/>
    <w:rsid w:val="00BF0F3C"/>
    <w:rsid w:val="00C1352C"/>
    <w:rsid w:val="00C37C42"/>
    <w:rsid w:val="00C4384B"/>
    <w:rsid w:val="00C62073"/>
    <w:rsid w:val="00C67FE4"/>
    <w:rsid w:val="00C971CD"/>
    <w:rsid w:val="00CA548C"/>
    <w:rsid w:val="00CA5987"/>
    <w:rsid w:val="00CB287A"/>
    <w:rsid w:val="00CD5413"/>
    <w:rsid w:val="00CE28CF"/>
    <w:rsid w:val="00CF31E3"/>
    <w:rsid w:val="00CF474E"/>
    <w:rsid w:val="00D115E6"/>
    <w:rsid w:val="00D50356"/>
    <w:rsid w:val="00DB747F"/>
    <w:rsid w:val="00DC7EEA"/>
    <w:rsid w:val="00DF2A9E"/>
    <w:rsid w:val="00E161AB"/>
    <w:rsid w:val="00E21999"/>
    <w:rsid w:val="00E91038"/>
    <w:rsid w:val="00EA2432"/>
    <w:rsid w:val="00ED5FA2"/>
    <w:rsid w:val="00EF292A"/>
    <w:rsid w:val="00F20E42"/>
    <w:rsid w:val="00F411B0"/>
    <w:rsid w:val="00F47CD4"/>
    <w:rsid w:val="00F6056E"/>
    <w:rsid w:val="00F629D2"/>
    <w:rsid w:val="00F70C82"/>
    <w:rsid w:val="00FB4A57"/>
    <w:rsid w:val="00FD6CB6"/>
    <w:rsid w:val="00FE19BF"/>
    <w:rsid w:val="00FE3D6F"/>
    <w:rsid w:val="00FF3730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1716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4</cp:revision>
  <cp:lastPrinted>2017-06-27T12:32:00Z</cp:lastPrinted>
  <dcterms:created xsi:type="dcterms:W3CDTF">2017-06-26T10:07:00Z</dcterms:created>
  <dcterms:modified xsi:type="dcterms:W3CDTF">2017-06-27T12:32:00Z</dcterms:modified>
</cp:coreProperties>
</file>