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982594" w:rsidP="00DB2B10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Oprava místních komunikací ve Vysokém nad Jizerou</w:t>
      </w:r>
      <w:r w:rsidR="00BF2711">
        <w:rPr>
          <w:rFonts w:cs="Arial"/>
          <w:b/>
          <w:bCs/>
          <w:sz w:val="26"/>
          <w:szCs w:val="26"/>
        </w:rPr>
        <w:t xml:space="preserve"> II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BF2711">
        <w:rPr>
          <w:rFonts w:eastAsia="Calibri-Bold" w:cs="Calibri-Bold"/>
          <w:b/>
          <w:bCs/>
          <w:sz w:val="26"/>
          <w:szCs w:val="26"/>
        </w:rPr>
        <w:t>8</w:t>
      </w:r>
      <w:r>
        <w:rPr>
          <w:rFonts w:eastAsia="Calibri-Bold" w:cs="Calibri-Bold"/>
          <w:b/>
          <w:bCs/>
          <w:sz w:val="26"/>
          <w:szCs w:val="26"/>
        </w:rPr>
        <w:t>00</w:t>
      </w:r>
      <w:r w:rsidR="00B95408">
        <w:rPr>
          <w:rFonts w:eastAsia="Calibri-Bold" w:cs="Calibri-Bold"/>
          <w:b/>
          <w:bCs/>
          <w:sz w:val="26"/>
          <w:szCs w:val="26"/>
        </w:rPr>
        <w:t>1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B95408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B95408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B95408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BF2711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Pr="00DB2B10" w:rsidRDefault="00996C30" w:rsidP="00996C30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EB7788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>Ing. Jaroslav Necha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nický, tel.: 481 593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="00EB7788"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EB7788" w:rsidRPr="00EB7788" w:rsidRDefault="00EB7788" w:rsidP="00996C30">
      <w:pPr>
        <w:pStyle w:val="Standard"/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Ing. Tereza Fenclová, tel.: 481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312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170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606 821 788</w:t>
      </w:r>
    </w:p>
    <w:p w:rsidR="00EB7788" w:rsidRDefault="00EB7788" w:rsidP="00EB7788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uctarna2@vysokenadjizerou.cz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96C30" w:rsidRDefault="00996C30" w:rsidP="00996C30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982594">
        <w:rPr>
          <w:rFonts w:cs="Arial"/>
          <w:b/>
          <w:bCs/>
          <w:szCs w:val="20"/>
        </w:rPr>
        <w:t>Oprava místních komunikací ve Vysokém nad Jizerou</w:t>
      </w:r>
      <w:r>
        <w:rPr>
          <w:rFonts w:cs="Arial"/>
          <w:b/>
          <w:bCs/>
          <w:szCs w:val="20"/>
        </w:rPr>
        <w:t xml:space="preserve"> </w:t>
      </w:r>
      <w:r w:rsidR="00BF2711">
        <w:rPr>
          <w:rFonts w:cs="Arial"/>
          <w:b/>
          <w:bCs/>
          <w:szCs w:val="20"/>
        </w:rPr>
        <w:t>II</w:t>
      </w:r>
    </w:p>
    <w:p w:rsidR="00AF5AE4" w:rsidRDefault="00BF2711" w:rsidP="00AF5A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Předmět zakázky: </w:t>
      </w:r>
      <w:r w:rsidR="00AF5AE4">
        <w:rPr>
          <w:rFonts w:eastAsia="Calibri" w:cs="Arial"/>
          <w:bCs/>
          <w:szCs w:val="20"/>
        </w:rPr>
        <w:t>Oprava</w:t>
      </w:r>
      <w:r w:rsidR="00AF5AE4" w:rsidRPr="00B01C11">
        <w:rPr>
          <w:rFonts w:eastAsia="Calibri" w:cs="Arial"/>
          <w:bCs/>
          <w:szCs w:val="20"/>
        </w:rPr>
        <w:t xml:space="preserve"> </w:t>
      </w:r>
      <w:r w:rsidR="00AF5AE4">
        <w:rPr>
          <w:rFonts w:eastAsia="Calibri" w:cs="Arial"/>
          <w:bCs/>
          <w:szCs w:val="20"/>
        </w:rPr>
        <w:t xml:space="preserve">místních komunikací ve Vysokém nad Jizerou bude probíhat na několika úsecích </w:t>
      </w:r>
      <w:r w:rsidR="00AF5AE4" w:rsidRPr="001102B1">
        <w:rPr>
          <w:rFonts w:eastAsia="Calibri" w:cs="Arial"/>
          <w:b/>
          <w:bCs/>
          <w:szCs w:val="20"/>
        </w:rPr>
        <w:t xml:space="preserve">v celkové délce 1 </w:t>
      </w:r>
      <w:r w:rsidR="00AF5AE4">
        <w:rPr>
          <w:rFonts w:eastAsia="Calibri" w:cs="Arial"/>
          <w:b/>
          <w:bCs/>
          <w:szCs w:val="20"/>
        </w:rPr>
        <w:t>746</w:t>
      </w:r>
      <w:r w:rsidR="00AF5AE4" w:rsidRPr="001102B1">
        <w:rPr>
          <w:rFonts w:eastAsia="Calibri" w:cs="Arial"/>
          <w:b/>
          <w:bCs/>
          <w:szCs w:val="20"/>
        </w:rPr>
        <w:t xml:space="preserve"> m </w:t>
      </w:r>
      <w:r w:rsidR="00AF5AE4" w:rsidRPr="001102B1">
        <w:rPr>
          <w:rFonts w:eastAsia="Calibri" w:cs="Arial"/>
          <w:bCs/>
          <w:szCs w:val="20"/>
        </w:rPr>
        <w:t>a proměnlivé</w:t>
      </w:r>
      <w:r w:rsidR="00AF5AE4" w:rsidRPr="001102B1">
        <w:rPr>
          <w:rFonts w:eastAsia="Calibri" w:cs="Arial"/>
          <w:b/>
          <w:bCs/>
          <w:szCs w:val="20"/>
        </w:rPr>
        <w:t xml:space="preserve"> šířce 2,3 </w:t>
      </w:r>
      <w:r w:rsidR="00AF5AE4" w:rsidRPr="001102B1">
        <w:rPr>
          <w:rFonts w:eastAsia="Calibri" w:cs="Arial"/>
          <w:bCs/>
          <w:szCs w:val="20"/>
        </w:rPr>
        <w:t>až</w:t>
      </w:r>
      <w:r w:rsidR="00AF5AE4" w:rsidRPr="001102B1">
        <w:rPr>
          <w:rFonts w:eastAsia="Calibri" w:cs="Arial"/>
          <w:b/>
          <w:bCs/>
          <w:szCs w:val="20"/>
        </w:rPr>
        <w:t xml:space="preserve"> 3,</w:t>
      </w:r>
      <w:r w:rsidR="00C02208">
        <w:rPr>
          <w:rFonts w:eastAsia="Calibri" w:cs="Arial"/>
          <w:b/>
          <w:bCs/>
          <w:szCs w:val="20"/>
        </w:rPr>
        <w:t>8</w:t>
      </w:r>
      <w:bookmarkStart w:id="0" w:name="_GoBack"/>
      <w:bookmarkEnd w:id="0"/>
      <w:r w:rsidR="00AF5AE4" w:rsidRPr="001102B1">
        <w:rPr>
          <w:rFonts w:eastAsia="Calibri" w:cs="Arial"/>
          <w:b/>
          <w:bCs/>
          <w:szCs w:val="20"/>
        </w:rPr>
        <w:t xml:space="preserve"> m</w:t>
      </w:r>
      <w:r w:rsidR="00AF5AE4" w:rsidRPr="001102B1">
        <w:rPr>
          <w:rFonts w:eastAsia="Calibri" w:cs="Arial"/>
          <w:bCs/>
          <w:szCs w:val="20"/>
        </w:rPr>
        <w:t>, tedy na</w:t>
      </w:r>
      <w:r w:rsidR="00AF5AE4" w:rsidRPr="001102B1">
        <w:rPr>
          <w:rFonts w:eastAsia="Calibri" w:cs="Arial"/>
          <w:b/>
          <w:bCs/>
          <w:szCs w:val="20"/>
        </w:rPr>
        <w:t xml:space="preserve"> cca </w:t>
      </w:r>
      <w:r w:rsidR="00AF5AE4">
        <w:rPr>
          <w:rFonts w:eastAsia="Calibri" w:cs="Arial"/>
          <w:b/>
          <w:bCs/>
          <w:szCs w:val="20"/>
        </w:rPr>
        <w:t>6</w:t>
      </w:r>
      <w:r w:rsidR="00AF5AE4" w:rsidRPr="001102B1">
        <w:rPr>
          <w:rFonts w:eastAsia="Calibri" w:cs="Arial"/>
          <w:b/>
          <w:bCs/>
          <w:szCs w:val="20"/>
        </w:rPr>
        <w:t xml:space="preserve"> </w:t>
      </w:r>
      <w:r w:rsidR="00AF5AE4">
        <w:rPr>
          <w:rFonts w:eastAsia="Calibri" w:cs="Arial"/>
          <w:b/>
          <w:bCs/>
          <w:szCs w:val="20"/>
        </w:rPr>
        <w:t>6</w:t>
      </w:r>
      <w:r w:rsidR="00C02208">
        <w:rPr>
          <w:rFonts w:eastAsia="Calibri" w:cs="Arial"/>
          <w:b/>
          <w:bCs/>
          <w:szCs w:val="20"/>
        </w:rPr>
        <w:t>7</w:t>
      </w:r>
      <w:r w:rsidR="00AF5AE4">
        <w:rPr>
          <w:rFonts w:eastAsia="Calibri" w:cs="Arial"/>
          <w:b/>
          <w:bCs/>
          <w:szCs w:val="20"/>
        </w:rPr>
        <w:t>1</w:t>
      </w:r>
      <w:r w:rsidR="00AF5AE4" w:rsidRPr="001102B1">
        <w:rPr>
          <w:rFonts w:eastAsia="Calibri" w:cs="Arial"/>
          <w:b/>
          <w:bCs/>
          <w:szCs w:val="20"/>
        </w:rPr>
        <w:t xml:space="preserve"> m</w:t>
      </w:r>
      <w:r w:rsidR="00AF5AE4" w:rsidRPr="001102B1">
        <w:rPr>
          <w:rFonts w:eastAsia="Calibri" w:cs="Arial"/>
          <w:b/>
          <w:bCs/>
          <w:szCs w:val="20"/>
          <w:vertAlign w:val="superscript"/>
        </w:rPr>
        <w:t>2</w:t>
      </w:r>
      <w:r w:rsidR="00AF5AE4">
        <w:rPr>
          <w:rFonts w:eastAsia="Calibri" w:cs="Arial"/>
          <w:bCs/>
          <w:szCs w:val="20"/>
        </w:rPr>
        <w:t xml:space="preserve">. Konkrétně se jedná o tyto úseky:   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„A0“ – od náměstí k VÚRV (včetně přilehlých prostor)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115 m</w:t>
      </w:r>
      <w:r>
        <w:rPr>
          <w:rFonts w:eastAsia="Calibri" w:cs="Arial"/>
          <w:bCs/>
          <w:szCs w:val="20"/>
        </w:rPr>
        <w:tab/>
        <w:t>š: 3,5 – 3,8 m</w:t>
      </w:r>
      <w:r>
        <w:rPr>
          <w:rFonts w:eastAsia="Calibri" w:cs="Arial"/>
          <w:bCs/>
          <w:szCs w:val="20"/>
        </w:rPr>
        <w:tab/>
        <w:t>1 066 m</w:t>
      </w:r>
      <w:r w:rsidRPr="003C29E5">
        <w:rPr>
          <w:rFonts w:eastAsia="Calibri" w:cs="Arial"/>
          <w:bCs/>
          <w:szCs w:val="20"/>
          <w:vertAlign w:val="superscript"/>
        </w:rPr>
        <w:t>2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„A“ – od VÚVR přes hlavní k č. p. 408 (Jindrovi)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d: 309 m </w:t>
      </w:r>
      <w:r>
        <w:rPr>
          <w:rFonts w:eastAsia="Calibri" w:cs="Arial"/>
          <w:bCs/>
          <w:szCs w:val="20"/>
        </w:rPr>
        <w:tab/>
        <w:t xml:space="preserve">š: 3 – 3,7 m </w:t>
      </w:r>
      <w:r>
        <w:rPr>
          <w:rFonts w:eastAsia="Calibri" w:cs="Arial"/>
          <w:bCs/>
          <w:szCs w:val="20"/>
        </w:rPr>
        <w:tab/>
        <w:t>1 052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„B“ – od hlavní kolem RD č. p. 93 (</w:t>
      </w:r>
      <w:proofErr w:type="spellStart"/>
      <w:r>
        <w:rPr>
          <w:rFonts w:eastAsia="Calibri" w:cs="Arial"/>
          <w:bCs/>
          <w:szCs w:val="20"/>
        </w:rPr>
        <w:t>Duštírovi</w:t>
      </w:r>
      <w:proofErr w:type="spellEnd"/>
      <w:r>
        <w:rPr>
          <w:rFonts w:eastAsia="Calibri" w:cs="Arial"/>
          <w:bCs/>
          <w:szCs w:val="20"/>
        </w:rPr>
        <w:t>) – Tříč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d: 100 m </w:t>
      </w:r>
      <w:r>
        <w:rPr>
          <w:rFonts w:eastAsia="Calibri" w:cs="Arial"/>
          <w:bCs/>
          <w:szCs w:val="20"/>
        </w:rPr>
        <w:tab/>
        <w:t>š: 3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343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„C“ – od č. p. 89 (Paterovi) k č. p. 26 (</w:t>
      </w:r>
      <w:proofErr w:type="spellStart"/>
      <w:r>
        <w:rPr>
          <w:rFonts w:eastAsia="Calibri" w:cs="Arial"/>
          <w:bCs/>
          <w:szCs w:val="20"/>
        </w:rPr>
        <w:t>Bartoničkovi</w:t>
      </w:r>
      <w:proofErr w:type="spellEnd"/>
      <w:r>
        <w:rPr>
          <w:rFonts w:eastAsia="Calibri" w:cs="Arial"/>
          <w:bCs/>
          <w:szCs w:val="20"/>
        </w:rPr>
        <w:t xml:space="preserve">) - Tříč </w:t>
      </w:r>
      <w:r>
        <w:rPr>
          <w:rFonts w:eastAsia="Calibri" w:cs="Arial"/>
          <w:bCs/>
          <w:szCs w:val="20"/>
        </w:rPr>
        <w:tab/>
        <w:t>d: 180 m</w:t>
      </w:r>
      <w:r>
        <w:rPr>
          <w:rFonts w:eastAsia="Calibri" w:cs="Arial"/>
          <w:bCs/>
          <w:szCs w:val="20"/>
        </w:rPr>
        <w:tab/>
        <w:t>š: 2,3 – 2,6 m</w:t>
      </w:r>
      <w:r>
        <w:rPr>
          <w:rFonts w:eastAsia="Calibri" w:cs="Arial"/>
          <w:bCs/>
          <w:szCs w:val="20"/>
        </w:rPr>
        <w:tab/>
        <w:t>414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, 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„D“ – od hlavní ke koupališti po RD č. p. 6 (</w:t>
      </w:r>
      <w:proofErr w:type="spellStart"/>
      <w:r>
        <w:rPr>
          <w:rFonts w:eastAsia="Calibri" w:cs="Arial"/>
          <w:bCs/>
          <w:szCs w:val="20"/>
        </w:rPr>
        <w:t>Kašťák</w:t>
      </w:r>
      <w:proofErr w:type="spellEnd"/>
      <w:r>
        <w:rPr>
          <w:rFonts w:eastAsia="Calibri" w:cs="Arial"/>
          <w:bCs/>
          <w:szCs w:val="20"/>
        </w:rPr>
        <w:t>) - Sklenařice</w:t>
      </w:r>
      <w:r>
        <w:rPr>
          <w:rFonts w:eastAsia="Calibri" w:cs="Arial"/>
          <w:bCs/>
          <w:szCs w:val="20"/>
        </w:rPr>
        <w:tab/>
        <w:t xml:space="preserve">d: 431 m </w:t>
      </w:r>
      <w:r>
        <w:rPr>
          <w:rFonts w:eastAsia="Calibri" w:cs="Arial"/>
          <w:bCs/>
          <w:szCs w:val="20"/>
        </w:rPr>
        <w:tab/>
        <w:t>š: 3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1 </w:t>
      </w:r>
      <w:r w:rsidR="00DB2B10">
        <w:rPr>
          <w:rFonts w:eastAsia="Calibri" w:cs="Arial"/>
          <w:bCs/>
          <w:szCs w:val="20"/>
        </w:rPr>
        <w:t>404</w:t>
      </w:r>
      <w:r>
        <w:rPr>
          <w:rFonts w:eastAsia="Calibri" w:cs="Arial"/>
          <w:bCs/>
          <w:szCs w:val="20"/>
        </w:rPr>
        <w:t xml:space="preserve">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„D1“ – pod č. p. 196 (Jarošovi) – Sklenařice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37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š: 3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111 m2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„E“ – od pomníku u hlavní k ZD Horal – Stará Ves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305 m</w:t>
      </w:r>
      <w:r>
        <w:rPr>
          <w:rFonts w:eastAsia="Calibri" w:cs="Arial"/>
          <w:bCs/>
          <w:szCs w:val="20"/>
        </w:rPr>
        <w:tab/>
        <w:t xml:space="preserve">š: </w:t>
      </w:r>
      <w:r w:rsidR="00DB2B10">
        <w:rPr>
          <w:rFonts w:eastAsia="Calibri" w:cs="Arial"/>
          <w:bCs/>
          <w:szCs w:val="20"/>
        </w:rPr>
        <w:t>3</w:t>
      </w:r>
      <w:r>
        <w:rPr>
          <w:rFonts w:eastAsia="Calibri" w:cs="Arial"/>
          <w:bCs/>
          <w:szCs w:val="20"/>
        </w:rPr>
        <w:t>,</w:t>
      </w:r>
      <w:r w:rsidR="00DB2B10">
        <w:rPr>
          <w:rFonts w:eastAsia="Calibri" w:cs="Arial"/>
          <w:bCs/>
          <w:szCs w:val="20"/>
        </w:rPr>
        <w:t>8</w:t>
      </w:r>
      <w:r>
        <w:rPr>
          <w:rFonts w:eastAsia="Calibri" w:cs="Calibri"/>
          <w:bCs/>
          <w:szCs w:val="20"/>
        </w:rPr>
        <w:t xml:space="preserve"> m </w:t>
      </w:r>
      <w:r>
        <w:rPr>
          <w:rFonts w:eastAsia="Calibri" w:cs="Calibri"/>
          <w:bCs/>
          <w:szCs w:val="20"/>
        </w:rPr>
        <w:tab/>
      </w:r>
      <w:r>
        <w:rPr>
          <w:rFonts w:eastAsia="Calibri" w:cs="Calibri"/>
          <w:bCs/>
          <w:szCs w:val="20"/>
        </w:rPr>
        <w:tab/>
        <w:t xml:space="preserve">1 171 </w:t>
      </w:r>
      <w:r>
        <w:rPr>
          <w:rFonts w:eastAsia="Calibri" w:cs="Arial"/>
          <w:bCs/>
          <w:szCs w:val="20"/>
        </w:rPr>
        <w:t>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AF5AE4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„F“ – parkoviště u DPS + prodloužení komunikace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15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120 m</w:t>
      </w:r>
      <w:r w:rsidRPr="001F62AA">
        <w:rPr>
          <w:rFonts w:eastAsia="Calibri" w:cs="Arial"/>
          <w:bCs/>
          <w:szCs w:val="20"/>
          <w:vertAlign w:val="superscript"/>
        </w:rPr>
        <w:t>2</w:t>
      </w:r>
    </w:p>
    <w:p w:rsidR="00AF5AE4" w:rsidRPr="008C517D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„G“ – od hlavní pod MěÚ k bytovce č. p. 222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229 m</w:t>
      </w:r>
      <w:r>
        <w:rPr>
          <w:rFonts w:eastAsia="Calibri" w:cs="Arial"/>
          <w:bCs/>
          <w:szCs w:val="20"/>
        </w:rPr>
        <w:tab/>
        <w:t>š: až do 5 m</w:t>
      </w:r>
      <w:r>
        <w:rPr>
          <w:rFonts w:eastAsia="Calibri" w:cs="Arial"/>
          <w:bCs/>
          <w:szCs w:val="20"/>
        </w:rPr>
        <w:tab/>
        <w:t>925 m</w:t>
      </w:r>
      <w:r w:rsidRPr="005A532B">
        <w:rPr>
          <w:rFonts w:eastAsia="Calibri" w:cs="Arial"/>
          <w:bCs/>
          <w:szCs w:val="20"/>
          <w:vertAlign w:val="superscript"/>
        </w:rPr>
        <w:t>2</w:t>
      </w:r>
    </w:p>
    <w:p w:rsidR="00AF5AE4" w:rsidRPr="00B01C11" w:rsidRDefault="00AF5AE4" w:rsidP="00AF5AE4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„H“ – křižovatka pod drogérií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cca 25 m</w:t>
      </w:r>
      <w:r>
        <w:rPr>
          <w:rFonts w:eastAsia="Calibri" w:cs="Arial"/>
          <w:bCs/>
          <w:szCs w:val="20"/>
        </w:rPr>
        <w:tab/>
        <w:t>š: 2,5 – 2,7 m</w:t>
      </w:r>
      <w:r>
        <w:rPr>
          <w:rFonts w:eastAsia="Calibri" w:cs="Arial"/>
          <w:bCs/>
          <w:szCs w:val="20"/>
        </w:rPr>
        <w:tab/>
        <w:t>65 m</w:t>
      </w:r>
      <w:r w:rsidRPr="00796EE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.</w:t>
      </w:r>
    </w:p>
    <w:p w:rsidR="00AF5AE4" w:rsidRDefault="00AF5AE4" w:rsidP="00AF5A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Oprava místních komunikací </w:t>
      </w:r>
      <w:r w:rsidRPr="0021245F">
        <w:rPr>
          <w:rFonts w:eastAsia="Calibri" w:cs="Arial"/>
          <w:bCs/>
          <w:szCs w:val="20"/>
        </w:rPr>
        <w:t>na</w:t>
      </w:r>
      <w:r w:rsidRPr="0021245F"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 xml:space="preserve">úseku A0 </w:t>
      </w:r>
      <w:r>
        <w:rPr>
          <w:rFonts w:eastAsia="Calibri" w:cs="Arial"/>
          <w:bCs/>
          <w:szCs w:val="20"/>
        </w:rPr>
        <w:t>zahrnuje vytvoření podkladních vrstev pod komunikací, prostorem před hasičskou zbrojnicí a prostorem bývalého objektu VÚRV na celkovém prostoru o výměře 1 066 m</w:t>
      </w:r>
      <w:r w:rsidRPr="00593BB0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. V části o výměře 696 m</w:t>
      </w:r>
      <w:r w:rsidRPr="004E0382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budou vytvořeny podkladní vrstvy komunikace, tzn., odtěžit části stávajících komunikací o mocnosti 300 mm, položit podkladní vrstvu ze štěrku frakce 0 - 63 mm v tloušťce 200 mm a dorovnat komunikaci asfaltovým recyklátem v tloušťce 100 mm. V části bude provedena silniční obruba a poté položena ložní asfaltová vrstva z ABH I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50 mm a vrchní vrstva z ACO 11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40 mm. V části o výměře 370 m</w:t>
      </w:r>
      <w:r w:rsidRPr="00CE7833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bude odtěžen stávající povrch, následně bude vytvořena podkladní vrstva odstavné plochy před VÚRV o mocnosti 400 mm, položeny podkladní vrstvy štěrku různých frakcí – od 0-63 mm po dorovnání frakcí 4-8 a následně položeny vegetační tvárnice (600x800, v. 200 mm). </w:t>
      </w:r>
      <w:r>
        <w:rPr>
          <w:rFonts w:eastAsia="Calibri" w:cs="Arial"/>
          <w:b/>
          <w:bCs/>
          <w:szCs w:val="20"/>
        </w:rPr>
        <w:t>Ú</w:t>
      </w:r>
      <w:r w:rsidRPr="0021245F">
        <w:rPr>
          <w:rFonts w:eastAsia="Calibri" w:cs="Arial"/>
          <w:b/>
          <w:bCs/>
          <w:szCs w:val="20"/>
        </w:rPr>
        <w:t>se</w:t>
      </w:r>
      <w:r>
        <w:rPr>
          <w:rFonts w:eastAsia="Calibri" w:cs="Arial"/>
          <w:b/>
          <w:bCs/>
          <w:szCs w:val="20"/>
        </w:rPr>
        <w:t>k</w:t>
      </w:r>
      <w:r w:rsidRPr="0021245F">
        <w:rPr>
          <w:rFonts w:eastAsia="Calibri" w:cs="Arial"/>
          <w:b/>
          <w:bCs/>
          <w:szCs w:val="20"/>
        </w:rPr>
        <w:t xml:space="preserve"> A</w:t>
      </w:r>
      <w:r>
        <w:rPr>
          <w:rFonts w:eastAsia="Calibri" w:cs="Arial"/>
          <w:b/>
          <w:bCs/>
          <w:szCs w:val="20"/>
        </w:rPr>
        <w:t xml:space="preserve"> </w:t>
      </w:r>
      <w:proofErr w:type="spellStart"/>
      <w:r>
        <w:rPr>
          <w:rFonts w:eastAsia="Calibri" w:cs="Arial"/>
          <w:b/>
          <w:bCs/>
          <w:szCs w:val="20"/>
        </w:rPr>
        <w:t>a</w:t>
      </w:r>
      <w:proofErr w:type="spellEnd"/>
      <w:r>
        <w:rPr>
          <w:rFonts w:eastAsia="Calibri" w:cs="Arial"/>
          <w:b/>
          <w:bCs/>
          <w:szCs w:val="20"/>
        </w:rPr>
        <w:t xml:space="preserve"> </w:t>
      </w:r>
      <w:r w:rsidRPr="0021245F">
        <w:rPr>
          <w:rFonts w:eastAsia="Calibri" w:cs="Arial"/>
          <w:b/>
          <w:bCs/>
          <w:szCs w:val="20"/>
        </w:rPr>
        <w:t>C</w:t>
      </w:r>
      <w:r>
        <w:rPr>
          <w:rFonts w:eastAsia="Calibri" w:cs="Arial"/>
          <w:bCs/>
          <w:szCs w:val="20"/>
        </w:rPr>
        <w:t xml:space="preserve"> zahrnuje vytvoření podkladních vrstev komunikací v délce 320 m, tzn., odtěžit části stávajících komunikací o mocnosti 300 mm, položit podkladní vrstvu ze štěrku frakce 0 - 63 mm v tloušťce 200 mm a dorovnat komunikaci asfaltovým recyklátem v tloušťce 100 mm. Na zbylých částech těchto úseků proběhne pouze očištění stávajícího povrchu komunikací a spojovací asfaltový postřik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. Poté bude na úseku </w:t>
      </w:r>
      <w:r w:rsidRPr="00CF562B">
        <w:rPr>
          <w:rFonts w:eastAsia="Calibri" w:cs="Arial"/>
          <w:b/>
          <w:bCs/>
          <w:szCs w:val="20"/>
        </w:rPr>
        <w:t>A</w:t>
      </w:r>
      <w:r>
        <w:rPr>
          <w:rFonts w:eastAsia="Calibri" w:cs="Arial"/>
          <w:bCs/>
          <w:szCs w:val="20"/>
        </w:rPr>
        <w:t xml:space="preserve"> </w:t>
      </w:r>
      <w:proofErr w:type="spellStart"/>
      <w:r>
        <w:rPr>
          <w:rFonts w:eastAsia="Calibri" w:cs="Arial"/>
          <w:bCs/>
          <w:szCs w:val="20"/>
        </w:rPr>
        <w:t>a</w:t>
      </w:r>
      <w:proofErr w:type="spellEnd"/>
      <w:r>
        <w:rPr>
          <w:rFonts w:eastAsia="Calibri" w:cs="Arial"/>
          <w:bCs/>
          <w:szCs w:val="20"/>
        </w:rPr>
        <w:t xml:space="preserve"> části </w:t>
      </w:r>
      <w:r w:rsidRPr="00204077">
        <w:rPr>
          <w:rFonts w:eastAsia="Calibri" w:cs="Arial"/>
          <w:b/>
          <w:bCs/>
          <w:szCs w:val="20"/>
        </w:rPr>
        <w:t>C</w:t>
      </w:r>
      <w:r>
        <w:rPr>
          <w:rFonts w:eastAsia="Calibri" w:cs="Arial"/>
          <w:bCs/>
          <w:szCs w:val="20"/>
        </w:rPr>
        <w:t xml:space="preserve"> položena ložní asfaltová vrstva z ABH I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50 mm a vrchní vrstva z ACO 11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 40 mm, a na části úseku </w:t>
      </w:r>
      <w:r w:rsidRPr="00CF562B">
        <w:rPr>
          <w:rFonts w:eastAsia="Calibri" w:cs="Arial"/>
          <w:b/>
          <w:bCs/>
          <w:szCs w:val="20"/>
        </w:rPr>
        <w:t>C</w:t>
      </w:r>
      <w:r>
        <w:rPr>
          <w:rFonts w:eastAsia="Calibri" w:cs="Arial"/>
          <w:bCs/>
          <w:szCs w:val="20"/>
        </w:rPr>
        <w:t xml:space="preserve"> navíc srovnávací vrstva z ACO 8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 20 – 30 mm. </w:t>
      </w:r>
      <w:r w:rsidRPr="00CF562B">
        <w:rPr>
          <w:rFonts w:eastAsia="Calibri" w:cs="Arial"/>
          <w:b/>
          <w:bCs/>
          <w:szCs w:val="20"/>
        </w:rPr>
        <w:t>Úsek B</w:t>
      </w:r>
      <w:r>
        <w:rPr>
          <w:rFonts w:eastAsia="Calibri" w:cs="Arial"/>
          <w:bCs/>
          <w:szCs w:val="20"/>
        </w:rPr>
        <w:t xml:space="preserve"> vyžaduje odstranění </w:t>
      </w:r>
      <w:r>
        <w:rPr>
          <w:rFonts w:eastAsia="Calibri" w:cs="Arial"/>
          <w:bCs/>
          <w:szCs w:val="20"/>
        </w:rPr>
        <w:lastRenderedPageBreak/>
        <w:t>nánosů ze stávajícího krytu komunikace, postřik spojovací asfaltovou emulzí v množství do 0,6 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, položení podkladní vrstvy ze štěrku frakce 0 – 63 mm v tloušťce 100 mm, ložní asfaltové vrstvy z ABH I v tloušťce 50 mm a vrchní asfaltové vrstvy z ACO 11 v tloušťce 40 mm. Na </w:t>
      </w:r>
      <w:r w:rsidRPr="0021245F">
        <w:rPr>
          <w:rFonts w:eastAsia="Calibri" w:cs="Arial"/>
          <w:b/>
          <w:bCs/>
          <w:szCs w:val="20"/>
        </w:rPr>
        <w:t>úse</w:t>
      </w:r>
      <w:r>
        <w:rPr>
          <w:rFonts w:eastAsia="Calibri" w:cs="Arial"/>
          <w:b/>
          <w:bCs/>
          <w:szCs w:val="20"/>
        </w:rPr>
        <w:t>ku D</w:t>
      </w:r>
      <w:r>
        <w:rPr>
          <w:rFonts w:eastAsia="Calibri" w:cs="Arial"/>
          <w:bCs/>
          <w:szCs w:val="20"/>
        </w:rPr>
        <w:t xml:space="preserve"> proběhne očištění stávajícího povrchu, postřik spojovací asfaltovou emulzí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a pokládka vrchní vrstvy z asfaltového betonu z ACO 11 v tloušťce 60 mm. Na </w:t>
      </w:r>
      <w:r w:rsidRPr="0021245F">
        <w:rPr>
          <w:rFonts w:eastAsia="Calibri" w:cs="Arial"/>
          <w:b/>
          <w:bCs/>
          <w:szCs w:val="20"/>
        </w:rPr>
        <w:t>úse</w:t>
      </w:r>
      <w:r>
        <w:rPr>
          <w:rFonts w:eastAsia="Calibri" w:cs="Arial"/>
          <w:b/>
          <w:bCs/>
          <w:szCs w:val="20"/>
        </w:rPr>
        <w:t>ku D1</w:t>
      </w:r>
      <w:r>
        <w:rPr>
          <w:rFonts w:eastAsia="Calibri" w:cs="Arial"/>
          <w:bCs/>
          <w:szCs w:val="20"/>
        </w:rPr>
        <w:t xml:space="preserve"> proběhne očištění stávajícího povrchu, postřik spojovací asfaltovou emulzí v množství do 0,6 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 vyrovnání povrchů komunikací srovnávací vrstvou z ACO 8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 20 – 30 mm a pokládka vrchní asfaltové vrstvy z ACO 11 v tloušťce 50 mm. </w:t>
      </w:r>
    </w:p>
    <w:p w:rsidR="00AF5AE4" w:rsidRDefault="00AF5AE4" w:rsidP="00AF5A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 </w:t>
      </w:r>
      <w:r>
        <w:rPr>
          <w:rFonts w:eastAsia="Calibri" w:cs="Arial"/>
          <w:b/>
          <w:bCs/>
          <w:szCs w:val="20"/>
        </w:rPr>
        <w:t>ú</w:t>
      </w:r>
      <w:r w:rsidRPr="007924F4">
        <w:rPr>
          <w:rFonts w:eastAsia="Calibri" w:cs="Arial"/>
          <w:b/>
          <w:bCs/>
          <w:szCs w:val="20"/>
        </w:rPr>
        <w:t>se</w:t>
      </w:r>
      <w:r>
        <w:rPr>
          <w:rFonts w:eastAsia="Calibri" w:cs="Arial"/>
          <w:b/>
          <w:bCs/>
          <w:szCs w:val="20"/>
        </w:rPr>
        <w:t xml:space="preserve">cích E a G </w:t>
      </w:r>
      <w:r>
        <w:rPr>
          <w:rFonts w:eastAsia="Calibri" w:cs="Arial"/>
          <w:bCs/>
          <w:szCs w:val="20"/>
        </w:rPr>
        <w:t>bude provedeno očištění stávajících povrchů, postřik spojovací asfaltovou emulzí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 vyrovnání povrchů komunikací srovnávací vrstvou z ACO 8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 20 – 30 mm a na </w:t>
      </w:r>
      <w:r w:rsidRPr="008C517D">
        <w:rPr>
          <w:rFonts w:eastAsia="Calibri" w:cs="Arial"/>
          <w:b/>
          <w:bCs/>
          <w:szCs w:val="20"/>
        </w:rPr>
        <w:t>úseku</w:t>
      </w:r>
      <w:r>
        <w:rPr>
          <w:rFonts w:eastAsia="Calibri" w:cs="Arial"/>
          <w:bCs/>
          <w:szCs w:val="20"/>
        </w:rPr>
        <w:t xml:space="preserve"> </w:t>
      </w:r>
      <w:r w:rsidRPr="00AD3EAC">
        <w:rPr>
          <w:rFonts w:eastAsia="Calibri" w:cs="Arial"/>
          <w:b/>
          <w:bCs/>
          <w:szCs w:val="20"/>
        </w:rPr>
        <w:t>E</w:t>
      </w:r>
      <w:r>
        <w:rPr>
          <w:rFonts w:eastAsia="Calibri" w:cs="Arial"/>
          <w:bCs/>
          <w:szCs w:val="20"/>
        </w:rPr>
        <w:t xml:space="preserve"> bude položena vrchní asfaltová vrstva z ACO 11 v tloušťce 60 mm. Na </w:t>
      </w:r>
      <w:r w:rsidRPr="00AD3EAC">
        <w:rPr>
          <w:rFonts w:eastAsia="Calibri" w:cs="Arial"/>
          <w:b/>
          <w:bCs/>
          <w:szCs w:val="20"/>
        </w:rPr>
        <w:t xml:space="preserve">úseku </w:t>
      </w:r>
      <w:r>
        <w:rPr>
          <w:rFonts w:eastAsia="Calibri" w:cs="Arial"/>
          <w:b/>
          <w:bCs/>
          <w:szCs w:val="20"/>
        </w:rPr>
        <w:t>G</w:t>
      </w:r>
      <w:r>
        <w:rPr>
          <w:rFonts w:eastAsia="Calibri" w:cs="Arial"/>
          <w:bCs/>
          <w:szCs w:val="20"/>
        </w:rPr>
        <w:t xml:space="preserve"> bude položena pouze jedna vrchní asfaltová vrstva z ACO 11 v tloušťce 50 mm. </w:t>
      </w:r>
      <w:r w:rsidRPr="008C517D">
        <w:rPr>
          <w:rFonts w:eastAsia="Calibri" w:cs="Arial"/>
          <w:b/>
          <w:bCs/>
          <w:szCs w:val="20"/>
        </w:rPr>
        <w:t>Úsek F</w:t>
      </w:r>
      <w:r>
        <w:rPr>
          <w:rFonts w:eastAsia="Calibri" w:cs="Arial"/>
          <w:bCs/>
          <w:szCs w:val="20"/>
        </w:rPr>
        <w:t xml:space="preserve"> spočívá ve zřízení parkovací plochy u objektu DPS a v prodloužení komunikace a zahrnuje vytvoření podkladních vrstev pod komunikací i odstavnou plochou tzn., odtěžit stávající povrch, pod komunikací o mocnosti 400 mm a pod odstavnou plochou o mocnosti 300 mm, položit podkladní vrstvu ze štěrku frakce 0 - 63 mm v tloušťce 200 mm a dorovnat komunikaci asfaltovým recyklátem v tloušťce 100 mm, což bude finální vrstva odstavné plochy. Na komunikaci poté bude položena ložní asfaltová vrstva z ABH I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50 mm a vrchní vrstva z ACO 11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 40 mm. Na </w:t>
      </w:r>
      <w:r w:rsidRPr="00897F0A">
        <w:rPr>
          <w:rFonts w:eastAsia="Calibri" w:cs="Arial"/>
          <w:b/>
          <w:bCs/>
          <w:szCs w:val="20"/>
        </w:rPr>
        <w:t>úseku H</w:t>
      </w:r>
      <w:r>
        <w:rPr>
          <w:rFonts w:eastAsia="Calibri" w:cs="Arial"/>
          <w:bCs/>
          <w:szCs w:val="20"/>
        </w:rPr>
        <w:t xml:space="preserve"> bude provedeno odfrézování stávajícího povrchu křižovatky místních komunikací pod drogérií, postřik spojovací asfaltovou emulzí do 0,6 kg/m</w:t>
      </w:r>
      <w:r w:rsidRPr="00897F0A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a položena vrchní asfaltová vrstva z ACO 11 v tloušťce 50 mm. Jednotlivé provozní spáry mezi stávajícím asfaltem a nově provedeným budou zaříznuty a poté prolity asfaltovou zálivkou.</w:t>
      </w:r>
    </w:p>
    <w:p w:rsidR="00AF5AE4" w:rsidRDefault="00AF5AE4" w:rsidP="00AF5A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Oprava všech výše uvedených úseků komunikací bude zároveň zahrnovat úpravy nájezdů buď ve stejné skladbě jako výše uvedené komunikace nebo pouze </w:t>
      </w:r>
      <w:proofErr w:type="spellStart"/>
      <w:r>
        <w:rPr>
          <w:rFonts w:eastAsia="Calibri" w:cs="Arial"/>
          <w:bCs/>
          <w:szCs w:val="20"/>
        </w:rPr>
        <w:t>dosypem</w:t>
      </w:r>
      <w:proofErr w:type="spellEnd"/>
      <w:r>
        <w:rPr>
          <w:rFonts w:eastAsia="Calibri" w:cs="Arial"/>
          <w:bCs/>
          <w:szCs w:val="20"/>
        </w:rPr>
        <w:t xml:space="preserve"> asfaltovým recyklátem, lokální zpevnění krajnic, odvodnění komunikací osazením svodnic a mikro štěrbinového žlabu a výškovou úpravu poklopů kanalizačních šachet a znaků inženýrských sítí – kanalizace, vodovodu a plynu. </w:t>
      </w: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 </w:t>
      </w:r>
    </w:p>
    <w:p w:rsidR="005F0908" w:rsidRPr="006C6042" w:rsidRDefault="00AF5AE4" w:rsidP="00AF5A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maximální ohleduplnosti a omezení hlučnosti. V rámci oprav dojde k omezení či úplnému zastavení provozu na výše uvedených úsecích místní komunikace. Staveniště budou řádně zabezpečena proti vstupu nepovolaným osobám, všechny překážky budou označeny, v průběhu stavebních prací bude na komunikacích osazeno dočasné dopravní značení. Před započetím prací bude tento záměr ohlášen všem složkám IZS. Celý průběh bude dokumentován a následně z něj bude pořízena závěrečná zpráva. Veškeré stavební práce budou provedeny dle „Všeobecných standardů staveb“.</w:t>
      </w:r>
    </w:p>
    <w:p w:rsidR="001B1534" w:rsidRDefault="001B1534" w:rsidP="00DB2B10">
      <w:pPr>
        <w:pStyle w:val="Standard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993F6A" w:rsidRDefault="001B1534" w:rsidP="00DB2B10">
      <w:pPr>
        <w:pStyle w:val="Standard"/>
        <w:autoSpaceDE w:val="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DB2B10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993F6A">
        <w:rPr>
          <w:rFonts w:eastAsia="Calibri" w:cs="Arial"/>
          <w:szCs w:val="20"/>
        </w:rPr>
        <w:t xml:space="preserve">, Sklenařice, Horní </w:t>
      </w:r>
      <w:r w:rsidR="005F0908">
        <w:rPr>
          <w:rFonts w:eastAsia="Calibri" w:cs="Arial"/>
          <w:szCs w:val="20"/>
        </w:rPr>
        <w:t>Tříč</w:t>
      </w:r>
      <w:r w:rsidR="00993F6A">
        <w:rPr>
          <w:rFonts w:eastAsia="Calibri" w:cs="Arial"/>
          <w:szCs w:val="20"/>
        </w:rPr>
        <w:t xml:space="preserve"> a Stará Ves.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Pr="00EB7788" w:rsidRDefault="001B1534" w:rsidP="00DB2B10">
      <w:pPr>
        <w:pStyle w:val="Standard"/>
        <w:spacing w:after="120"/>
        <w:jc w:val="both"/>
        <w:rPr>
          <w:b/>
        </w:rPr>
      </w:pPr>
      <w:r>
        <w:t>Rozsah prací je uveden v</w:t>
      </w:r>
      <w:r w:rsidR="004C6F86">
        <w:t xml:space="preserve">e </w:t>
      </w:r>
      <w:r w:rsidR="00EB7788">
        <w:t>výkaz</w:t>
      </w:r>
      <w:r w:rsidR="005F0908">
        <w:t>u</w:t>
      </w:r>
      <w:r>
        <w:rPr>
          <w:rFonts w:eastAsia="Calibri" w:cs="Calibri"/>
          <w:color w:val="000000"/>
          <w:szCs w:val="20"/>
        </w:rPr>
        <w:t xml:space="preserve"> výměr</w:t>
      </w:r>
      <w:r w:rsidR="005F0908">
        <w:rPr>
          <w:rFonts w:eastAsia="Calibri" w:cs="Calibri"/>
          <w:color w:val="000000"/>
          <w:szCs w:val="20"/>
        </w:rPr>
        <w:t>.</w:t>
      </w:r>
      <w:r w:rsidR="00EB7788">
        <w:rPr>
          <w:rFonts w:eastAsia="Calibri" w:cs="Calibri"/>
          <w:b/>
          <w:color w:val="00000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C7474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993F6A" w:rsidRDefault="00A62212" w:rsidP="00993F6A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="00CA548C">
        <w:rPr>
          <w:rFonts w:eastAsia="Calibri" w:cs="Arial"/>
          <w:szCs w:val="20"/>
        </w:rPr>
        <w:t>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>
        <w:rPr>
          <w:rFonts w:eastAsia="Calibri" w:cs="Arial"/>
          <w:szCs w:val="20"/>
        </w:rPr>
        <w:t xml:space="preserve"> o dílo s vybraným zhotovitelem, </w:t>
      </w:r>
      <w:r w:rsidR="00993F6A">
        <w:rPr>
          <w:rFonts w:eastAsia="Calibri" w:cs="Arial"/>
          <w:szCs w:val="20"/>
        </w:rPr>
        <w:t>předpokládá se od </w:t>
      </w:r>
      <w:r w:rsidRPr="00993F6A">
        <w:rPr>
          <w:rFonts w:eastAsia="Calibri" w:cs="Arial"/>
          <w:b/>
          <w:szCs w:val="20"/>
        </w:rPr>
        <w:t>1</w:t>
      </w:r>
      <w:r w:rsidR="00993F6A" w:rsidRPr="00993F6A">
        <w:rPr>
          <w:rFonts w:eastAsia="Calibri" w:cs="Arial"/>
          <w:b/>
          <w:szCs w:val="20"/>
        </w:rPr>
        <w:t>. </w:t>
      </w:r>
      <w:r w:rsidR="00AF5AE4">
        <w:rPr>
          <w:rFonts w:eastAsia="Calibri" w:cs="Arial"/>
          <w:b/>
          <w:szCs w:val="20"/>
        </w:rPr>
        <w:t>června</w:t>
      </w:r>
      <w:r w:rsidR="005F0908" w:rsidRPr="00993F6A">
        <w:rPr>
          <w:rFonts w:eastAsia="Calibri" w:cs="Arial"/>
          <w:b/>
          <w:szCs w:val="20"/>
        </w:rPr>
        <w:t xml:space="preserve"> </w:t>
      </w:r>
      <w:r w:rsidRPr="00993F6A">
        <w:rPr>
          <w:rFonts w:eastAsia="Calibri" w:cs="Arial"/>
          <w:b/>
          <w:szCs w:val="20"/>
        </w:rPr>
        <w:t>201</w:t>
      </w:r>
      <w:r w:rsidR="00993F6A">
        <w:rPr>
          <w:rFonts w:eastAsia="Calibri" w:cs="Arial"/>
          <w:b/>
          <w:szCs w:val="20"/>
        </w:rPr>
        <w:t>8</w:t>
      </w:r>
      <w:r w:rsidRPr="00993F6A">
        <w:rPr>
          <w:rFonts w:eastAsia="Calibri" w:cs="Arial"/>
          <w:szCs w:val="20"/>
        </w:rPr>
        <w:t>,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AF5AE4">
        <w:rPr>
          <w:rFonts w:eastAsia="Calibri" w:cs="Arial"/>
          <w:b/>
          <w:szCs w:val="20"/>
        </w:rPr>
        <w:t>10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AF5AE4">
        <w:rPr>
          <w:rFonts w:eastAsia="Calibri" w:cs="Arial"/>
          <w:b/>
          <w:szCs w:val="20"/>
        </w:rPr>
        <w:t>října</w:t>
      </w:r>
      <w:r w:rsidR="007C5DEA" w:rsidRPr="004243BE">
        <w:rPr>
          <w:rFonts w:eastAsia="Calibri" w:cs="Arial"/>
          <w:b/>
          <w:szCs w:val="20"/>
        </w:rPr>
        <w:t xml:space="preserve"> </w:t>
      </w:r>
      <w:r w:rsidR="006F18CA" w:rsidRPr="004243BE">
        <w:rPr>
          <w:rFonts w:eastAsia="Calibri" w:cs="Arial"/>
          <w:b/>
          <w:szCs w:val="20"/>
        </w:rPr>
        <w:t>201</w:t>
      </w:r>
      <w:r w:rsidR="00993F6A">
        <w:rPr>
          <w:rFonts w:eastAsia="Calibri" w:cs="Arial"/>
          <w:b/>
          <w:szCs w:val="20"/>
        </w:rPr>
        <w:t>8</w:t>
      </w:r>
      <w:r w:rsidR="00A62212">
        <w:rPr>
          <w:rFonts w:eastAsia="Calibri" w:cs="Arial"/>
          <w:szCs w:val="20"/>
        </w:rPr>
        <w:t>,</w:t>
      </w:r>
    </w:p>
    <w:p w:rsidR="00503976" w:rsidRPr="00A62212" w:rsidRDefault="00A62212" w:rsidP="00993F6A">
      <w:pPr>
        <w:pStyle w:val="Standard"/>
        <w:numPr>
          <w:ilvl w:val="0"/>
          <w:numId w:val="19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="00503976"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</w:t>
      </w:r>
      <w:r w:rsidR="00E92C84">
        <w:rPr>
          <w:rFonts w:eastAsia="Calibri" w:cs="Calibri"/>
          <w:color w:val="000000"/>
          <w:szCs w:val="20"/>
        </w:rPr>
        <w:t xml:space="preserve">v CZK </w:t>
      </w:r>
      <w:r>
        <w:rPr>
          <w:rFonts w:eastAsia="Calibri" w:cs="Calibri"/>
          <w:color w:val="000000"/>
          <w:szCs w:val="20"/>
        </w:rPr>
        <w:t>za celé plnění veřejné zakázky</w:t>
      </w:r>
      <w:r w:rsidR="00A62212">
        <w:rPr>
          <w:rFonts w:eastAsia="Calibri" w:cs="Calibri"/>
          <w:color w:val="000000"/>
          <w:szCs w:val="20"/>
        </w:rPr>
        <w:t>. Nabídkov</w:t>
      </w:r>
      <w:r w:rsidR="005F0908">
        <w:rPr>
          <w:rFonts w:eastAsia="Calibri" w:cs="Calibri"/>
          <w:color w:val="000000"/>
          <w:szCs w:val="20"/>
        </w:rPr>
        <w:t>á cena</w:t>
      </w:r>
      <w:r w:rsidR="00A62212">
        <w:rPr>
          <w:rFonts w:eastAsia="Calibri" w:cs="Calibri"/>
          <w:color w:val="000000"/>
          <w:szCs w:val="20"/>
        </w:rPr>
        <w:t xml:space="preserve"> bud</w:t>
      </w:r>
      <w:r w:rsidR="005F0908">
        <w:rPr>
          <w:rFonts w:eastAsia="Calibri" w:cs="Calibri"/>
          <w:color w:val="000000"/>
          <w:szCs w:val="20"/>
        </w:rPr>
        <w:t>e</w:t>
      </w:r>
      <w:r w:rsidR="00A62212">
        <w:rPr>
          <w:rFonts w:eastAsia="Calibri" w:cs="Calibri"/>
          <w:color w:val="000000"/>
          <w:szCs w:val="20"/>
        </w:rPr>
        <w:t xml:space="preserve"> zpracován</w:t>
      </w:r>
      <w:r w:rsidR="005F0908">
        <w:rPr>
          <w:rFonts w:eastAsia="Calibri" w:cs="Calibri"/>
          <w:color w:val="000000"/>
          <w:szCs w:val="20"/>
        </w:rPr>
        <w:t>a</w:t>
      </w:r>
      <w:r>
        <w:rPr>
          <w:rFonts w:eastAsia="Calibri" w:cs="Calibri"/>
          <w:color w:val="000000"/>
          <w:szCs w:val="20"/>
        </w:rPr>
        <w:t xml:space="preserve"> v souladu s položkovým rozpočt</w:t>
      </w:r>
      <w:r w:rsidR="005F0908">
        <w:rPr>
          <w:rFonts w:eastAsia="Calibri" w:cs="Calibri"/>
          <w:color w:val="000000"/>
          <w:szCs w:val="20"/>
        </w:rPr>
        <w:t>em jednotlivých úseků komunikací</w:t>
      </w:r>
      <w:r w:rsidR="00A62212">
        <w:rPr>
          <w:rFonts w:eastAsia="Calibri" w:cs="Calibri"/>
          <w:color w:val="000000"/>
          <w:szCs w:val="20"/>
        </w:rPr>
        <w:t>,</w:t>
      </w:r>
      <w:r>
        <w:rPr>
          <w:rFonts w:eastAsia="Calibri" w:cs="Calibri"/>
          <w:color w:val="000000"/>
          <w:szCs w:val="20"/>
        </w:rPr>
        <w:t xml:space="preserve"> kter</w:t>
      </w:r>
      <w:r w:rsidR="005F0908">
        <w:rPr>
          <w:rFonts w:eastAsia="Calibri" w:cs="Calibri"/>
          <w:color w:val="000000"/>
          <w:szCs w:val="20"/>
        </w:rPr>
        <w:t>ý</w:t>
      </w:r>
      <w:r w:rsidR="00A62212">
        <w:rPr>
          <w:rFonts w:eastAsia="Calibri" w:cs="Calibri"/>
          <w:color w:val="000000"/>
          <w:szCs w:val="20"/>
        </w:rPr>
        <w:t xml:space="preserve"> j</w:t>
      </w:r>
      <w:r w:rsidR="005F0908">
        <w:rPr>
          <w:rFonts w:eastAsia="Calibri" w:cs="Calibri"/>
          <w:color w:val="000000"/>
          <w:szCs w:val="20"/>
        </w:rPr>
        <w:t>e</w:t>
      </w:r>
      <w:r>
        <w:rPr>
          <w:rFonts w:eastAsia="Calibri" w:cs="Calibri"/>
          <w:color w:val="000000"/>
          <w:szCs w:val="20"/>
        </w:rPr>
        <w:t xml:space="preserve">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</w:t>
      </w:r>
      <w:r w:rsidR="00993F6A">
        <w:rPr>
          <w:rFonts w:eastAsia="Calibri" w:cs="Calibri"/>
          <w:b/>
          <w:color w:val="000000"/>
          <w:szCs w:val="20"/>
        </w:rPr>
        <w:t>ého</w:t>
      </w:r>
      <w:r w:rsidR="002A45FA">
        <w:rPr>
          <w:rFonts w:eastAsia="Calibri" w:cs="Calibri"/>
          <w:b/>
          <w:color w:val="000000"/>
          <w:szCs w:val="20"/>
        </w:rPr>
        <w:t xml:space="preserve"> rozpočt</w:t>
      </w:r>
      <w:r w:rsidR="00993F6A">
        <w:rPr>
          <w:rFonts w:eastAsia="Calibri" w:cs="Calibri"/>
          <w:b/>
          <w:color w:val="000000"/>
          <w:szCs w:val="20"/>
        </w:rPr>
        <w:t>u</w:t>
      </w:r>
      <w:r>
        <w:rPr>
          <w:rFonts w:eastAsia="Calibri" w:cs="Calibri"/>
          <w:b/>
          <w:color w:val="000000"/>
          <w:szCs w:val="20"/>
        </w:rPr>
        <w:t xml:space="preserve">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FA54BF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Celkov</w:t>
      </w:r>
      <w:r w:rsidR="005F0908">
        <w:rPr>
          <w:rFonts w:eastAsia="Calibri" w:cs="Calibri"/>
          <w:color w:val="000000"/>
          <w:szCs w:val="20"/>
        </w:rPr>
        <w:t xml:space="preserve">ou </w:t>
      </w:r>
      <w:r w:rsidR="001B1534">
        <w:rPr>
          <w:rFonts w:eastAsia="Calibri" w:cs="Calibri"/>
          <w:color w:val="000000"/>
          <w:szCs w:val="20"/>
        </w:rPr>
        <w:t>nabídkov</w:t>
      </w:r>
      <w:r w:rsidR="005F0908">
        <w:rPr>
          <w:rFonts w:eastAsia="Calibri" w:cs="Calibri"/>
          <w:color w:val="000000"/>
          <w:szCs w:val="20"/>
        </w:rPr>
        <w:t>ou</w:t>
      </w:r>
      <w:r>
        <w:rPr>
          <w:rFonts w:eastAsia="Calibri" w:cs="Calibri"/>
          <w:color w:val="000000"/>
          <w:szCs w:val="20"/>
        </w:rPr>
        <w:t xml:space="preserve"> cen</w:t>
      </w:r>
      <w:r w:rsidR="005F0908">
        <w:rPr>
          <w:rFonts w:eastAsia="Calibri" w:cs="Calibri"/>
          <w:color w:val="000000"/>
          <w:szCs w:val="20"/>
        </w:rPr>
        <w:t xml:space="preserve">u </w:t>
      </w:r>
      <w:r w:rsidR="004C6F86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 xml:space="preserve"> ve formátu </w:t>
      </w:r>
      <w:r w:rsidR="00982594">
        <w:rPr>
          <w:rFonts w:eastAsia="Calibri" w:cs="Calibri"/>
          <w:color w:val="000000"/>
          <w:szCs w:val="20"/>
        </w:rPr>
        <w:t>XLS</w:t>
      </w:r>
      <w:r w:rsidR="001B1534">
        <w:rPr>
          <w:rFonts w:eastAsia="Calibri" w:cs="Calibri"/>
          <w:color w:val="000000"/>
          <w:szCs w:val="20"/>
        </w:rPr>
        <w:t xml:space="preserve"> (003_Kryci_list_vzor.xls), který j</w:t>
      </w:r>
      <w:r>
        <w:rPr>
          <w:rFonts w:eastAsia="Calibri" w:cs="Calibri"/>
          <w:color w:val="000000"/>
          <w:szCs w:val="20"/>
        </w:rPr>
        <w:t>e součástí zadávací dokumentace</w:t>
      </w:r>
      <w:r w:rsidR="005F0908">
        <w:rPr>
          <w:rFonts w:eastAsia="Calibri" w:cs="Calibri"/>
          <w:color w:val="000000"/>
          <w:szCs w:val="20"/>
        </w:rPr>
        <w:t>.</w:t>
      </w:r>
      <w:r w:rsidR="00D93850">
        <w:rPr>
          <w:rFonts w:eastAsia="Calibri" w:cs="Calibri"/>
          <w:color w:val="000000"/>
          <w:szCs w:val="20"/>
        </w:rPr>
        <w:t xml:space="preserve"> </w:t>
      </w:r>
      <w:r w:rsidR="00D93850"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="00D93850" w:rsidRPr="00DB2B10">
        <w:rPr>
          <w:rFonts w:eastAsia="Calibri" w:cs="Times New Roman"/>
          <w:b/>
          <w:szCs w:val="20"/>
        </w:rPr>
        <w:t xml:space="preserve">je </w:t>
      </w:r>
      <w:r w:rsidR="00DB2B10" w:rsidRPr="00DB2B10">
        <w:rPr>
          <w:rFonts w:eastAsia="Calibri" w:cs="Times New Roman"/>
          <w:b/>
          <w:szCs w:val="20"/>
        </w:rPr>
        <w:t>3</w:t>
      </w:r>
      <w:r w:rsidR="00993F6A" w:rsidRPr="00DB2B10">
        <w:rPr>
          <w:rFonts w:eastAsia="Calibri" w:cs="Times New Roman"/>
          <w:b/>
          <w:szCs w:val="20"/>
        </w:rPr>
        <w:t>.</w:t>
      </w:r>
      <w:r w:rsidR="00DB2B10" w:rsidRPr="00DB2B10">
        <w:rPr>
          <w:rFonts w:eastAsia="Calibri" w:cs="Times New Roman"/>
          <w:b/>
          <w:szCs w:val="20"/>
        </w:rPr>
        <w:t>400</w:t>
      </w:r>
      <w:r w:rsidR="00D93850" w:rsidRPr="00DB2B10">
        <w:rPr>
          <w:rFonts w:eastAsia="Calibri" w:cs="Times New Roman"/>
          <w:b/>
          <w:szCs w:val="20"/>
        </w:rPr>
        <w:t>.000 Kč</w:t>
      </w:r>
      <w:r w:rsidR="00993F6A">
        <w:rPr>
          <w:rFonts w:eastAsia="Calibri" w:cs="Times New Roman"/>
          <w:b/>
          <w:color w:val="000000"/>
          <w:szCs w:val="20"/>
        </w:rPr>
        <w:t xml:space="preserve"> bez DPH</w:t>
      </w:r>
      <w:r w:rsidR="00D93850" w:rsidRPr="00512D5F">
        <w:rPr>
          <w:rFonts w:eastAsia="Calibri" w:cs="Times New Roman"/>
          <w:b/>
          <w:color w:val="000000"/>
          <w:szCs w:val="20"/>
        </w:rPr>
        <w:t>.</w:t>
      </w:r>
      <w:r w:rsidR="005F0908">
        <w:rPr>
          <w:rFonts w:eastAsia="Calibri" w:cs="Calibri"/>
          <w:color w:val="000000"/>
          <w:szCs w:val="20"/>
        </w:rPr>
        <w:t xml:space="preserve"> </w:t>
      </w:r>
    </w:p>
    <w:p w:rsidR="001B1534" w:rsidRPr="00D93850" w:rsidRDefault="00D93850" w:rsidP="00993F6A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F6267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993F6A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934CC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Pr="002A45FA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</w:t>
      </w:r>
      <w:r w:rsidR="007C728C">
        <w:rPr>
          <w:rFonts w:eastAsia="ArialMT, 'Times New Roman'" w:cs="Arial"/>
          <w:szCs w:val="20"/>
        </w:rPr>
        <w:t>ho listu</w:t>
      </w:r>
      <w:r>
        <w:rPr>
          <w:rFonts w:eastAsia="ArialMT, 'Times New Roman'" w:cs="Arial"/>
          <w:szCs w:val="20"/>
        </w:rPr>
        <w:t xml:space="preserve"> nabídky uchazeč závazně použije vzor, který je součástí zadávací dokumentace (003</w:t>
      </w:r>
      <w:r w:rsidR="002A45FA">
        <w:rPr>
          <w:rFonts w:eastAsia="ArialMT, 'Times New Roman'" w:cs="Arial"/>
          <w:szCs w:val="20"/>
        </w:rPr>
        <w:t>_Kryci_list_vzor.xls). Na krycí</w:t>
      </w:r>
      <w:r w:rsidR="007C728C">
        <w:rPr>
          <w:rFonts w:eastAsia="ArialMT, 'Times New Roman'" w:cs="Arial"/>
          <w:szCs w:val="20"/>
        </w:rPr>
        <w:t xml:space="preserve">m </w:t>
      </w:r>
      <w:r w:rsidR="002A45FA">
        <w:rPr>
          <w:rFonts w:eastAsia="ArialMT, 'Times New Roman'" w:cs="Arial"/>
          <w:szCs w:val="20"/>
        </w:rPr>
        <w:t>list</w:t>
      </w:r>
      <w:r w:rsidR="007C728C">
        <w:rPr>
          <w:rFonts w:eastAsia="ArialMT, 'Times New Roman'" w:cs="Arial"/>
          <w:szCs w:val="20"/>
        </w:rPr>
        <w:t>u</w:t>
      </w:r>
      <w:r>
        <w:rPr>
          <w:rFonts w:eastAsia="ArialMT, 'Times New Roman'" w:cs="Arial"/>
          <w:szCs w:val="20"/>
        </w:rPr>
        <w:t xml:space="preserve">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  <w:r w:rsidR="002A45FA">
        <w:rPr>
          <w:rFonts w:eastAsia="ArialMT, 'Times New Roman'" w:cs="Arial"/>
          <w:szCs w:val="20"/>
        </w:rPr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E92C84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81463" w:rsidRPr="00626F80">
        <w:t>oprav</w:t>
      </w:r>
      <w:r w:rsidR="007F7332" w:rsidRPr="00626F80">
        <w:t>y</w:t>
      </w:r>
      <w:r w:rsidR="00B81463" w:rsidRPr="00626F80">
        <w:t xml:space="preserve"> </w:t>
      </w:r>
      <w:r w:rsidR="000F6267" w:rsidRPr="00626F80">
        <w:t>komunikací</w:t>
      </w:r>
      <w:r w:rsidR="00003CDC" w:rsidRPr="00626F80">
        <w:t xml:space="preserve">, každé v hodnotě minimálně </w:t>
      </w:r>
      <w:r w:rsidR="003E17C4">
        <w:t>2</w:t>
      </w:r>
      <w:r w:rsidR="00256D37">
        <w:t>.00</w:t>
      </w:r>
      <w:r w:rsidR="000F6267" w:rsidRPr="00626F80">
        <w:t>0</w:t>
      </w:r>
      <w:r w:rsidR="00003CDC" w:rsidRPr="00626F80">
        <w:t>.000 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  <w:r w:rsidR="00B774D3"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7C728C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</w:t>
      </w:r>
      <w:r w:rsidR="00D1568A">
        <w:rPr>
          <w:rFonts w:eastAsia="ArialMT, 'Times New Roman'" w:cs="Arial"/>
          <w:szCs w:val="20"/>
        </w:rPr>
        <w:t xml:space="preserve"> a ukončení</w:t>
      </w:r>
      <w:r w:rsidR="00CD5413">
        <w:rPr>
          <w:rFonts w:eastAsia="ArialMT, 'Times New Roman'" w:cs="Arial"/>
          <w:szCs w:val="20"/>
        </w:rPr>
        <w:t xml:space="preserve"> </w:t>
      </w:r>
      <w:r>
        <w:rPr>
          <w:rFonts w:eastAsia="ArialMT, 'Times New Roman'" w:cs="Arial"/>
          <w:szCs w:val="20"/>
        </w:rPr>
        <w:t>prací - odstavec 4.1</w:t>
      </w:r>
      <w:r w:rsidR="007C728C">
        <w:rPr>
          <w:rFonts w:eastAsia="ArialMT, 'Times New Roman'" w:cs="Arial"/>
          <w:szCs w:val="20"/>
        </w:rPr>
        <w:t xml:space="preserve">, </w:t>
      </w:r>
      <w:r w:rsidR="007C728C">
        <w:rPr>
          <w:rFonts w:eastAsia="ArialMT, 'Times New Roman'" w:cs="Arial"/>
          <w:b/>
          <w:szCs w:val="20"/>
        </w:rPr>
        <w:t xml:space="preserve">cenu </w:t>
      </w:r>
      <w:r w:rsidR="007C728C">
        <w:rPr>
          <w:rFonts w:eastAsia="ArialMT, 'Times New Roman'" w:cs="Arial"/>
          <w:szCs w:val="20"/>
        </w:rPr>
        <w:t xml:space="preserve">díla – odstavec 5.1 </w:t>
      </w:r>
      <w:r>
        <w:rPr>
          <w:rFonts w:eastAsia="ArialMT, 'Times New Roman'" w:cs="Arial"/>
          <w:szCs w:val="20"/>
        </w:rPr>
        <w:t xml:space="preserve">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  <w:r w:rsidR="007C728C">
        <w:rPr>
          <w:rFonts w:eastAsia="ArialMT, 'Times New Roman'" w:cs="Arial"/>
          <w:szCs w:val="20"/>
        </w:rPr>
        <w:t xml:space="preserve"> </w:t>
      </w:r>
    </w:p>
    <w:p w:rsidR="001B1534" w:rsidRPr="00934CCA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lastRenderedPageBreak/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</w:t>
      </w:r>
      <w:r w:rsidR="00D1568A">
        <w:rPr>
          <w:rFonts w:eastAsia="ArialMT, 'Times New Roman'" w:cs="Arial"/>
          <w:szCs w:val="20"/>
        </w:rPr>
        <w:t>ou cenu</w:t>
      </w:r>
      <w:r>
        <w:rPr>
          <w:rFonts w:eastAsia="ArialMT, 'Times New Roman'" w:cs="Arial"/>
          <w:szCs w:val="20"/>
        </w:rPr>
        <w:t xml:space="preserve"> za celé plnění veřejné zakázky</w:t>
      </w:r>
      <w:r w:rsidR="00D1568A">
        <w:rPr>
          <w:rFonts w:eastAsia="ArialMT, 'Times New Roman'" w:cs="Arial"/>
          <w:szCs w:val="20"/>
        </w:rPr>
        <w:t>. Nabídková cena</w:t>
      </w:r>
      <w:r w:rsidR="001504A9">
        <w:rPr>
          <w:rFonts w:eastAsia="ArialMT, 'Times New Roman'" w:cs="Arial"/>
          <w:szCs w:val="20"/>
        </w:rPr>
        <w:t xml:space="preserve"> bud</w:t>
      </w:r>
      <w:r w:rsidR="00D1568A">
        <w:rPr>
          <w:rFonts w:eastAsia="ArialMT, 'Times New Roman'" w:cs="Arial"/>
          <w:szCs w:val="20"/>
        </w:rPr>
        <w:t>e zpracována</w:t>
      </w:r>
      <w:r>
        <w:rPr>
          <w:rFonts w:eastAsia="ArialMT, 'Times New Roman'" w:cs="Arial"/>
          <w:szCs w:val="20"/>
        </w:rPr>
        <w:t xml:space="preserve">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E92C84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E92C84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0616B0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D1568A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D1568A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D1568A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0616B0">
      <w:pPr>
        <w:pStyle w:val="Standard"/>
        <w:numPr>
          <w:ilvl w:val="1"/>
          <w:numId w:val="21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7D2B53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7D2B53" w:rsidRPr="00CF474E" w:rsidRDefault="007D2B53" w:rsidP="007D2B53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DB2B10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CF474E" w:rsidRPr="00AD59E9" w:rsidRDefault="00CF474E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934CCA">
        <w:rPr>
          <w:rFonts w:eastAsia="Arial" w:cs="Arial"/>
          <w:b/>
          <w:bCs/>
          <w:sz w:val="22"/>
          <w:szCs w:val="22"/>
        </w:rPr>
        <w:t>2018</w:t>
      </w:r>
      <w:r>
        <w:rPr>
          <w:rFonts w:eastAsia="Arial" w:cs="Arial"/>
          <w:b/>
          <w:bCs/>
          <w:sz w:val="22"/>
          <w:szCs w:val="22"/>
        </w:rPr>
        <w:t>00</w:t>
      </w:r>
      <w:r w:rsidR="00D1568A">
        <w:rPr>
          <w:rFonts w:eastAsia="Arial" w:cs="Arial"/>
          <w:b/>
          <w:bCs/>
          <w:sz w:val="22"/>
          <w:szCs w:val="22"/>
        </w:rPr>
        <w:t>1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</w:t>
      </w:r>
      <w:r w:rsidR="00AD59E9">
        <w:rPr>
          <w:rFonts w:cs="Arial"/>
          <w:b/>
          <w:bCs/>
          <w:sz w:val="22"/>
          <w:szCs w:val="22"/>
        </w:rPr>
        <w:t xml:space="preserve"> </w:t>
      </w:r>
      <w:r w:rsidR="00933B7B">
        <w:rPr>
          <w:rFonts w:cs="Arial"/>
          <w:b/>
          <w:bCs/>
          <w:sz w:val="22"/>
          <w:szCs w:val="22"/>
        </w:rPr>
        <w:t>Oprava místních komunikací ve Vysokém nad Jizerou</w:t>
      </w:r>
      <w:r w:rsidR="00934CCA">
        <w:rPr>
          <w:rFonts w:cs="Arial"/>
          <w:b/>
          <w:bCs/>
          <w:sz w:val="22"/>
          <w:szCs w:val="22"/>
        </w:rPr>
        <w:t xml:space="preserve"> II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34CCA">
        <w:rPr>
          <w:rFonts w:cs="Arial"/>
          <w:szCs w:val="20"/>
        </w:rPr>
        <w:tab/>
      </w:r>
      <w:r>
        <w:rPr>
          <w:rFonts w:cs="Arial"/>
          <w:szCs w:val="20"/>
        </w:rPr>
        <w:t>512 11 Vysoké nad Jizerou</w:t>
      </w:r>
    </w:p>
    <w:p w:rsidR="001B1534" w:rsidRDefault="00CF474E" w:rsidP="00DB2B10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D1568A">
        <w:rPr>
          <w:rFonts w:eastAsia="Calibri" w:cs="Calibri"/>
          <w:b/>
          <w:bCs/>
          <w:szCs w:val="20"/>
        </w:rPr>
        <w:t xml:space="preserve"> </w:t>
      </w:r>
      <w:r w:rsidR="00AF5AE4">
        <w:rPr>
          <w:rFonts w:eastAsia="Calibri" w:cs="Calibri"/>
          <w:b/>
          <w:bCs/>
          <w:szCs w:val="20"/>
        </w:rPr>
        <w:t>úterý</w:t>
      </w:r>
      <w:r w:rsidR="00B774D3">
        <w:rPr>
          <w:rFonts w:eastAsia="Calibri" w:cs="Calibri"/>
          <w:b/>
          <w:bCs/>
          <w:szCs w:val="20"/>
        </w:rPr>
        <w:t xml:space="preserve"> </w:t>
      </w:r>
      <w:r w:rsidR="00AF5AE4">
        <w:rPr>
          <w:rFonts w:eastAsia="Calibri" w:cs="Calibri"/>
          <w:b/>
          <w:bCs/>
          <w:szCs w:val="20"/>
        </w:rPr>
        <w:t>22</w:t>
      </w:r>
      <w:r>
        <w:rPr>
          <w:rFonts w:eastAsia="Calibri" w:cs="Calibri"/>
          <w:b/>
          <w:bCs/>
          <w:szCs w:val="20"/>
        </w:rPr>
        <w:t xml:space="preserve">. </w:t>
      </w:r>
      <w:r w:rsidR="00AF5AE4">
        <w:rPr>
          <w:rFonts w:eastAsia="Calibri" w:cs="Calibri"/>
          <w:b/>
          <w:bCs/>
          <w:szCs w:val="20"/>
        </w:rPr>
        <w:t>5</w:t>
      </w:r>
      <w:r>
        <w:rPr>
          <w:rFonts w:eastAsia="Calibri" w:cs="Calibri"/>
          <w:b/>
          <w:bCs/>
          <w:szCs w:val="20"/>
        </w:rPr>
        <w:t>. 201</w:t>
      </w:r>
      <w:r w:rsidR="00934CCA">
        <w:rPr>
          <w:rFonts w:eastAsia="Calibri" w:cs="Calibri"/>
          <w:b/>
          <w:bCs/>
          <w:szCs w:val="20"/>
        </w:rPr>
        <w:t>8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AF5AE4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5653AF">
        <w:rPr>
          <w:noProof/>
          <w:lang w:eastAsia="cs-CZ" w:bidi="ar-SA"/>
        </w:rPr>
        <w:drawing>
          <wp:inline distT="0" distB="0" distL="0" distR="0" wp14:anchorId="40F13047" wp14:editId="7FD5EFF4">
            <wp:extent cx="14192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022EBD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022EBD">
              <w:rPr>
                <w:szCs w:val="20"/>
              </w:rPr>
              <w:fldChar w:fldCharType="separate"/>
            </w:r>
            <w:r w:rsidR="00C02208">
              <w:rPr>
                <w:noProof/>
                <w:szCs w:val="20"/>
              </w:rPr>
              <w:t>4. 5. 2018</w:t>
            </w:r>
            <w:r w:rsidR="00022EBD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AD309C">
          <w:headerReference w:type="default" r:id="rId9"/>
          <w:footerReference w:type="default" r:id="rId10"/>
          <w:pgSz w:w="11906" w:h="16838"/>
          <w:pgMar w:top="2552" w:right="907" w:bottom="1701" w:left="907" w:header="567" w:footer="567" w:gutter="0"/>
          <w:cols w:space="708"/>
        </w:sectPr>
      </w:pPr>
    </w:p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ab/>
      </w: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35" w:rsidRDefault="00D82735">
      <w:r>
        <w:separator/>
      </w:r>
    </w:p>
  </w:endnote>
  <w:endnote w:type="continuationSeparator" w:id="0">
    <w:p w:rsidR="00D82735" w:rsidRDefault="00D8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CA" w:rsidRDefault="00C02208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934CCA" w:rsidRDefault="00934CCA">
    <w:pPr>
      <w:pStyle w:val="Standard"/>
      <w:jc w:val="center"/>
      <w:rPr>
        <w:rFonts w:cs="Arial"/>
        <w:sz w:val="12"/>
        <w:szCs w:val="12"/>
      </w:rPr>
    </w:pPr>
  </w:p>
  <w:p w:rsidR="00934CCA" w:rsidRDefault="00934CCA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934CCA" w:rsidRDefault="00934CCA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934CCA" w:rsidRDefault="00934CCA">
    <w:pPr>
      <w:pStyle w:val="Standard"/>
      <w:jc w:val="center"/>
    </w:pPr>
  </w:p>
  <w:p w:rsidR="00934CCA" w:rsidRDefault="00022EBD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934CCA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C02208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934CCA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934CCA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C02208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35" w:rsidRDefault="00D82735">
      <w:r>
        <w:rPr>
          <w:color w:val="000000"/>
        </w:rPr>
        <w:separator/>
      </w:r>
    </w:p>
  </w:footnote>
  <w:footnote w:type="continuationSeparator" w:id="0">
    <w:p w:rsidR="00D82735" w:rsidRDefault="00D8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934CCA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934CCA" w:rsidRDefault="005653A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 wp14:anchorId="0D432C08" wp14:editId="64FCDB69">
                <wp:extent cx="447675" cy="495300"/>
                <wp:effectExtent l="19050" t="0" r="9525" b="0"/>
                <wp:docPr id="4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34CCA" w:rsidRDefault="00934CCA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934CCA" w:rsidRDefault="00934CCA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934CCA" w:rsidRDefault="00934CCA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934CCA" w:rsidRDefault="00934CCA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934CCA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934CCA" w:rsidRDefault="00C02208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934CCA" w:rsidRDefault="00934CCA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6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8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17"/>
  </w:num>
  <w:num w:numId="23">
    <w:abstractNumId w:val="14"/>
  </w:num>
  <w:num w:numId="24">
    <w:abstractNumId w:val="16"/>
  </w:num>
  <w:num w:numId="25">
    <w:abstractNumId w:val="8"/>
  </w:num>
  <w:num w:numId="26">
    <w:abstractNumId w:val="18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22EBD"/>
    <w:rsid w:val="000616B0"/>
    <w:rsid w:val="000646CB"/>
    <w:rsid w:val="00064709"/>
    <w:rsid w:val="000925B2"/>
    <w:rsid w:val="00094BD3"/>
    <w:rsid w:val="000C7DE3"/>
    <w:rsid w:val="000D6E02"/>
    <w:rsid w:val="000F3D8E"/>
    <w:rsid w:val="000F6267"/>
    <w:rsid w:val="001176FE"/>
    <w:rsid w:val="0013310D"/>
    <w:rsid w:val="001504A9"/>
    <w:rsid w:val="00175C4C"/>
    <w:rsid w:val="001A0641"/>
    <w:rsid w:val="001A7593"/>
    <w:rsid w:val="001B1534"/>
    <w:rsid w:val="001B1923"/>
    <w:rsid w:val="001B669C"/>
    <w:rsid w:val="0020093B"/>
    <w:rsid w:val="002171CB"/>
    <w:rsid w:val="00242912"/>
    <w:rsid w:val="00256D37"/>
    <w:rsid w:val="002A04E6"/>
    <w:rsid w:val="002A106C"/>
    <w:rsid w:val="002A45FA"/>
    <w:rsid w:val="002B44A3"/>
    <w:rsid w:val="002D1228"/>
    <w:rsid w:val="002D6F68"/>
    <w:rsid w:val="002E4618"/>
    <w:rsid w:val="002F745A"/>
    <w:rsid w:val="0033092C"/>
    <w:rsid w:val="003A1474"/>
    <w:rsid w:val="003A1F1A"/>
    <w:rsid w:val="003E17C4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425BB"/>
    <w:rsid w:val="005653AF"/>
    <w:rsid w:val="00567C25"/>
    <w:rsid w:val="00577ED9"/>
    <w:rsid w:val="0059035F"/>
    <w:rsid w:val="0059345A"/>
    <w:rsid w:val="005C609F"/>
    <w:rsid w:val="005E1814"/>
    <w:rsid w:val="005E5329"/>
    <w:rsid w:val="005F0908"/>
    <w:rsid w:val="005F30C0"/>
    <w:rsid w:val="00601C4F"/>
    <w:rsid w:val="00626F80"/>
    <w:rsid w:val="00670439"/>
    <w:rsid w:val="00680E81"/>
    <w:rsid w:val="006B00CB"/>
    <w:rsid w:val="006E371D"/>
    <w:rsid w:val="006F18CA"/>
    <w:rsid w:val="006F37DF"/>
    <w:rsid w:val="006F7BEA"/>
    <w:rsid w:val="0073219C"/>
    <w:rsid w:val="007603A2"/>
    <w:rsid w:val="00786228"/>
    <w:rsid w:val="007A6261"/>
    <w:rsid w:val="007A6AAA"/>
    <w:rsid w:val="007B1C3F"/>
    <w:rsid w:val="007C5DEA"/>
    <w:rsid w:val="007C728C"/>
    <w:rsid w:val="007D2B53"/>
    <w:rsid w:val="007F7332"/>
    <w:rsid w:val="00807AE7"/>
    <w:rsid w:val="008556AB"/>
    <w:rsid w:val="0089260D"/>
    <w:rsid w:val="008C7474"/>
    <w:rsid w:val="008D1000"/>
    <w:rsid w:val="008E11EB"/>
    <w:rsid w:val="008E3211"/>
    <w:rsid w:val="008F31A0"/>
    <w:rsid w:val="00910D2B"/>
    <w:rsid w:val="0092110B"/>
    <w:rsid w:val="00933895"/>
    <w:rsid w:val="00933B7B"/>
    <w:rsid w:val="00934CCA"/>
    <w:rsid w:val="00982594"/>
    <w:rsid w:val="00993F6A"/>
    <w:rsid w:val="00996C30"/>
    <w:rsid w:val="009D14CD"/>
    <w:rsid w:val="009D5880"/>
    <w:rsid w:val="009E4AAC"/>
    <w:rsid w:val="00A22CAD"/>
    <w:rsid w:val="00A24E7D"/>
    <w:rsid w:val="00A373E0"/>
    <w:rsid w:val="00A517C3"/>
    <w:rsid w:val="00A62212"/>
    <w:rsid w:val="00A74975"/>
    <w:rsid w:val="00AA2A6B"/>
    <w:rsid w:val="00AD309C"/>
    <w:rsid w:val="00AD50A8"/>
    <w:rsid w:val="00AD59E9"/>
    <w:rsid w:val="00AF5AE4"/>
    <w:rsid w:val="00B246E7"/>
    <w:rsid w:val="00B34F4B"/>
    <w:rsid w:val="00B57DCC"/>
    <w:rsid w:val="00B774D3"/>
    <w:rsid w:val="00B77C4F"/>
    <w:rsid w:val="00B81463"/>
    <w:rsid w:val="00B83ECB"/>
    <w:rsid w:val="00B84BFF"/>
    <w:rsid w:val="00B92D0A"/>
    <w:rsid w:val="00B95408"/>
    <w:rsid w:val="00BD3A13"/>
    <w:rsid w:val="00BF2711"/>
    <w:rsid w:val="00C02208"/>
    <w:rsid w:val="00C1352C"/>
    <w:rsid w:val="00C24642"/>
    <w:rsid w:val="00C4384B"/>
    <w:rsid w:val="00C67FE4"/>
    <w:rsid w:val="00C734BD"/>
    <w:rsid w:val="00C971CD"/>
    <w:rsid w:val="00CA548C"/>
    <w:rsid w:val="00CA5987"/>
    <w:rsid w:val="00CB287A"/>
    <w:rsid w:val="00CD5413"/>
    <w:rsid w:val="00CE28CF"/>
    <w:rsid w:val="00CF31E3"/>
    <w:rsid w:val="00CF474E"/>
    <w:rsid w:val="00D115E6"/>
    <w:rsid w:val="00D1568A"/>
    <w:rsid w:val="00D50356"/>
    <w:rsid w:val="00D82735"/>
    <w:rsid w:val="00D8650B"/>
    <w:rsid w:val="00D93850"/>
    <w:rsid w:val="00DB2B10"/>
    <w:rsid w:val="00DB747F"/>
    <w:rsid w:val="00DC7EEA"/>
    <w:rsid w:val="00DF2A9E"/>
    <w:rsid w:val="00E161AB"/>
    <w:rsid w:val="00E21999"/>
    <w:rsid w:val="00E50D9F"/>
    <w:rsid w:val="00E91038"/>
    <w:rsid w:val="00E92C84"/>
    <w:rsid w:val="00EA2432"/>
    <w:rsid w:val="00EB7788"/>
    <w:rsid w:val="00EC3EA2"/>
    <w:rsid w:val="00ED5FA2"/>
    <w:rsid w:val="00EF292A"/>
    <w:rsid w:val="00F20E42"/>
    <w:rsid w:val="00F411B0"/>
    <w:rsid w:val="00F47CD4"/>
    <w:rsid w:val="00F54E80"/>
    <w:rsid w:val="00F55ECB"/>
    <w:rsid w:val="00F6056E"/>
    <w:rsid w:val="00F629D2"/>
    <w:rsid w:val="00F70C82"/>
    <w:rsid w:val="00FA54BF"/>
    <w:rsid w:val="00FE19BF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E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2EB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22E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2EBD"/>
    <w:pPr>
      <w:spacing w:after="120"/>
    </w:pPr>
  </w:style>
  <w:style w:type="paragraph" w:styleId="Seznam">
    <w:name w:val="List"/>
    <w:basedOn w:val="Textbody"/>
    <w:rsid w:val="00022EBD"/>
  </w:style>
  <w:style w:type="paragraph" w:styleId="Titulek">
    <w:name w:val="caption"/>
    <w:basedOn w:val="Standard"/>
    <w:rsid w:val="00022EB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2EBD"/>
    <w:pPr>
      <w:suppressLineNumbers/>
    </w:pPr>
  </w:style>
  <w:style w:type="paragraph" w:styleId="Zhlav">
    <w:name w:val="head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22EBD"/>
    <w:pPr>
      <w:suppressLineNumbers/>
    </w:pPr>
  </w:style>
  <w:style w:type="paragraph" w:styleId="Zpat">
    <w:name w:val="foot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22EBD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22EBD"/>
    <w:pPr>
      <w:jc w:val="center"/>
    </w:pPr>
    <w:rPr>
      <w:b/>
      <w:bCs/>
    </w:rPr>
  </w:style>
  <w:style w:type="character" w:customStyle="1" w:styleId="Internetlink">
    <w:name w:val="Internet link"/>
    <w:rsid w:val="00022EBD"/>
    <w:rPr>
      <w:color w:val="000080"/>
      <w:u w:val="single"/>
    </w:rPr>
  </w:style>
  <w:style w:type="character" w:customStyle="1" w:styleId="NumberingSymbols">
    <w:name w:val="Numbering Symbols"/>
    <w:rsid w:val="00022EBD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22EBD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22EBD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22EBD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22EBD"/>
  </w:style>
  <w:style w:type="character" w:customStyle="1" w:styleId="WW8Num1z2">
    <w:name w:val="WW8Num1z2"/>
    <w:rsid w:val="00022EBD"/>
  </w:style>
  <w:style w:type="character" w:customStyle="1" w:styleId="WW8Num1z3">
    <w:name w:val="WW8Num1z3"/>
    <w:rsid w:val="00022EBD"/>
  </w:style>
  <w:style w:type="character" w:customStyle="1" w:styleId="WW8Num1z4">
    <w:name w:val="WW8Num1z4"/>
    <w:rsid w:val="00022EBD"/>
  </w:style>
  <w:style w:type="character" w:customStyle="1" w:styleId="WW8Num1z5">
    <w:name w:val="WW8Num1z5"/>
    <w:rsid w:val="00022EBD"/>
  </w:style>
  <w:style w:type="character" w:customStyle="1" w:styleId="WW8Num1z6">
    <w:name w:val="WW8Num1z6"/>
    <w:rsid w:val="00022EBD"/>
  </w:style>
  <w:style w:type="character" w:customStyle="1" w:styleId="WW8Num1z7">
    <w:name w:val="WW8Num1z7"/>
    <w:rsid w:val="00022EBD"/>
  </w:style>
  <w:style w:type="character" w:customStyle="1" w:styleId="WW8Num1z8">
    <w:name w:val="WW8Num1z8"/>
    <w:rsid w:val="00022EBD"/>
  </w:style>
  <w:style w:type="numbering" w:customStyle="1" w:styleId="WW8Num3">
    <w:name w:val="WW8Num3"/>
    <w:basedOn w:val="Bezseznamu"/>
    <w:rsid w:val="00022EBD"/>
    <w:pPr>
      <w:numPr>
        <w:numId w:val="1"/>
      </w:numPr>
    </w:pPr>
  </w:style>
  <w:style w:type="numbering" w:customStyle="1" w:styleId="WW8Num4">
    <w:name w:val="WW8Num4"/>
    <w:basedOn w:val="Bezseznamu"/>
    <w:rsid w:val="00022EBD"/>
    <w:pPr>
      <w:numPr>
        <w:numId w:val="2"/>
      </w:numPr>
    </w:pPr>
  </w:style>
  <w:style w:type="numbering" w:customStyle="1" w:styleId="WW8Num2">
    <w:name w:val="WW8Num2"/>
    <w:basedOn w:val="Bezseznamu"/>
    <w:rsid w:val="00022EBD"/>
    <w:pPr>
      <w:numPr>
        <w:numId w:val="3"/>
      </w:numPr>
    </w:pPr>
  </w:style>
  <w:style w:type="numbering" w:customStyle="1" w:styleId="WW8Num1">
    <w:name w:val="WW8Num1"/>
    <w:basedOn w:val="Bezseznamu"/>
    <w:rsid w:val="00022EBD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EB7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2072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8</cp:revision>
  <cp:lastPrinted>2018-05-04T09:53:00Z</cp:lastPrinted>
  <dcterms:created xsi:type="dcterms:W3CDTF">2018-03-13T13:53:00Z</dcterms:created>
  <dcterms:modified xsi:type="dcterms:W3CDTF">2018-05-04T09:53:00Z</dcterms:modified>
</cp:coreProperties>
</file>