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592237" w:rsidRPr="00592237" w:rsidRDefault="00E067E9" w:rsidP="00F5358E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Vysoké nad Jizerou - n</w:t>
      </w:r>
      <w:r w:rsidR="00CB0EE7">
        <w:rPr>
          <w:rFonts w:cs="Arial"/>
          <w:b/>
          <w:bCs/>
          <w:sz w:val="26"/>
          <w:szCs w:val="26"/>
        </w:rPr>
        <w:t xml:space="preserve">apojení nového vodního zdroje </w:t>
      </w:r>
      <w:r w:rsidR="005C6BA3">
        <w:rPr>
          <w:rFonts w:cs="Arial"/>
          <w:b/>
          <w:bCs/>
          <w:sz w:val="26"/>
          <w:szCs w:val="26"/>
        </w:rPr>
        <w:t>– vrtu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CB0EE7">
        <w:rPr>
          <w:rFonts w:eastAsia="Calibri-Bold" w:cs="Calibri-Bold"/>
          <w:b/>
          <w:bCs/>
          <w:sz w:val="26"/>
          <w:szCs w:val="26"/>
        </w:rPr>
        <w:t>8</w:t>
      </w:r>
      <w:r w:rsidR="00592237">
        <w:rPr>
          <w:rFonts w:eastAsia="Calibri-Bold" w:cs="Calibri-Bold"/>
          <w:b/>
          <w:bCs/>
          <w:sz w:val="26"/>
          <w:szCs w:val="26"/>
        </w:rPr>
        <w:t>00</w:t>
      </w:r>
      <w:r w:rsidR="00CB0EE7">
        <w:rPr>
          <w:rFonts w:eastAsia="Calibri-Bold" w:cs="Calibri-Bold"/>
          <w:b/>
          <w:bCs/>
          <w:sz w:val="26"/>
          <w:szCs w:val="26"/>
        </w:rPr>
        <w:t>5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592237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592237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592237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592237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592237">
        <w:rPr>
          <w:rFonts w:eastAsia="Calibri" w:cs="Calibri"/>
          <w:szCs w:val="20"/>
        </w:rPr>
        <w:t xml:space="preserve"> /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CB0EE7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</w:t>
      </w:r>
      <w:r w:rsidRPr="00B951FA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 Jaroslav Nechanický, tel.: 481 593 </w:t>
      </w:r>
      <w:r w:rsidR="00592237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Pr="00B951FA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mobil.: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hyperlink r:id="rId8" w:history="1">
        <w:r w:rsidR="00560D67" w:rsidRPr="00635FC6">
          <w:rPr>
            <w:rStyle w:val="Hypertextovodkaz"/>
            <w:rFonts w:eastAsia="Calibri" w:cs="Calibri"/>
            <w:iCs/>
            <w:szCs w:val="20"/>
          </w:rPr>
          <w:t>mistostarosta@vysokenadjizerou.cz</w:t>
        </w:r>
      </w:hyperlink>
    </w:p>
    <w:p w:rsidR="000460FA" w:rsidRPr="00BA6316" w:rsidRDefault="000460FA" w:rsidP="000460FA">
      <w:pPr>
        <w:pStyle w:val="Standard"/>
        <w:ind w:left="350" w:hanging="363"/>
        <w:jc w:val="both"/>
        <w:rPr>
          <w:rFonts w:eastAsia="Calibri" w:cs="Calibri"/>
          <w:iCs/>
          <w:szCs w:val="20"/>
        </w:rPr>
      </w:pP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iCs/>
          <w:szCs w:val="20"/>
        </w:rPr>
        <w:t>Ing. Tereza Fenclová, tel.: 481 312 170, mobil.: 606 821 788</w:t>
      </w:r>
    </w:p>
    <w:p w:rsidR="001B1534" w:rsidRDefault="000460FA" w:rsidP="000460FA">
      <w:pPr>
        <w:pStyle w:val="Standard"/>
        <w:ind w:left="350" w:hanging="363"/>
        <w:jc w:val="both"/>
        <w:rPr>
          <w:rFonts w:eastAsia="Calibri" w:cs="Calibri"/>
          <w:szCs w:val="20"/>
        </w:rPr>
      </w:pPr>
      <w:r w:rsidRPr="000460FA">
        <w:rPr>
          <w:rFonts w:eastAsia="Calibri" w:cs="Calibri"/>
          <w:b/>
          <w:iCs/>
          <w:szCs w:val="20"/>
        </w:rPr>
        <w:tab/>
      </w:r>
      <w:r w:rsidRPr="000460FA">
        <w:rPr>
          <w:rFonts w:eastAsia="Calibri" w:cs="Calibri"/>
          <w:b/>
          <w:iCs/>
          <w:szCs w:val="20"/>
        </w:rPr>
        <w:tab/>
      </w:r>
      <w:r>
        <w:rPr>
          <w:rFonts w:eastAsia="Calibri" w:cs="Calibri"/>
          <w:b/>
          <w:iCs/>
          <w:szCs w:val="20"/>
        </w:rPr>
        <w:tab/>
      </w:r>
      <w:r>
        <w:rPr>
          <w:rFonts w:eastAsia="Calibri" w:cs="Calibri"/>
          <w:b/>
          <w:iCs/>
          <w:szCs w:val="20"/>
        </w:rPr>
        <w:tab/>
      </w:r>
      <w:r w:rsidRPr="000460FA">
        <w:rPr>
          <w:rFonts w:eastAsia="Calibri" w:cs="Calibri"/>
          <w:iCs/>
          <w:szCs w:val="20"/>
        </w:rPr>
        <w:t xml:space="preserve">email: </w:t>
      </w:r>
      <w:hyperlink r:id="rId9" w:history="1">
        <w:r w:rsidRPr="000460FA">
          <w:rPr>
            <w:rStyle w:val="Hypertextovodkaz"/>
            <w:rFonts w:eastAsia="Calibri" w:cs="Calibri"/>
            <w:iCs/>
            <w:szCs w:val="20"/>
          </w:rPr>
          <w:t>uctarna2@vysokenadjizerou.cz</w:t>
        </w:r>
      </w:hyperlink>
    </w:p>
    <w:p w:rsidR="000460FA" w:rsidRDefault="000460FA" w:rsidP="000460FA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B951FA" w:rsidRPr="00B951FA" w:rsidRDefault="00996C30" w:rsidP="00B951FA">
      <w:pPr>
        <w:pStyle w:val="Standard"/>
        <w:spacing w:after="57"/>
        <w:ind w:left="352" w:hanging="36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E067E9">
        <w:rPr>
          <w:rFonts w:cs="Arial"/>
          <w:b/>
          <w:bCs/>
          <w:szCs w:val="20"/>
        </w:rPr>
        <w:t>Vysoké nad Jizerou - n</w:t>
      </w:r>
      <w:r w:rsidR="00CB0EE7">
        <w:rPr>
          <w:rFonts w:cs="Arial"/>
          <w:b/>
          <w:bCs/>
          <w:szCs w:val="20"/>
        </w:rPr>
        <w:t>apojení nového vodního zdroje</w:t>
      </w:r>
      <w:r w:rsidR="005C6BA3">
        <w:rPr>
          <w:rFonts w:cs="Arial"/>
          <w:b/>
          <w:bCs/>
          <w:szCs w:val="20"/>
        </w:rPr>
        <w:t xml:space="preserve"> – vrtu</w:t>
      </w:r>
    </w:p>
    <w:p w:rsidR="000460FA" w:rsidRDefault="000460FA" w:rsidP="00953B00">
      <w:pPr>
        <w:pStyle w:val="Standard"/>
        <w:ind w:firstLine="34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Předmětem zakázky </w:t>
      </w:r>
      <w:r w:rsidRPr="008D136F">
        <w:rPr>
          <w:rFonts w:eastAsia="Calibri" w:cs="Arial"/>
          <w:bCs/>
          <w:szCs w:val="20"/>
        </w:rPr>
        <w:t>je</w:t>
      </w:r>
      <w:r>
        <w:rPr>
          <w:rFonts w:eastAsia="Calibri" w:cs="Arial"/>
          <w:b/>
          <w:bCs/>
          <w:szCs w:val="20"/>
        </w:rPr>
        <w:t xml:space="preserve"> </w:t>
      </w:r>
      <w:r w:rsidR="001F123C">
        <w:rPr>
          <w:rFonts w:eastAsia="Calibri" w:cs="Arial"/>
          <w:b/>
          <w:bCs/>
          <w:szCs w:val="20"/>
        </w:rPr>
        <w:t>vybudování šachty s nadzemním objektem v místě stávajícího vrtu</w:t>
      </w:r>
      <w:r w:rsidR="00473B2D" w:rsidRPr="00473B2D">
        <w:rPr>
          <w:rFonts w:eastAsia="Calibri" w:cs="Arial"/>
          <w:bCs/>
          <w:szCs w:val="20"/>
        </w:rPr>
        <w:t>, který je hluboký cca 80 m.</w:t>
      </w:r>
      <w:r w:rsidR="00953B00">
        <w:rPr>
          <w:rFonts w:eastAsia="Calibri" w:cs="Arial"/>
          <w:bCs/>
          <w:szCs w:val="20"/>
        </w:rPr>
        <w:t xml:space="preserve"> </w:t>
      </w:r>
      <w:r w:rsidR="00473B2D">
        <w:rPr>
          <w:rFonts w:eastAsia="Calibri" w:cs="Arial"/>
          <w:bCs/>
          <w:szCs w:val="20"/>
        </w:rPr>
        <w:t>Mezi novým objektem a stávajícím věžovým vodojemem budou vybudována potřebná propojení</w:t>
      </w:r>
      <w:r w:rsidR="00813AD6">
        <w:rPr>
          <w:rFonts w:eastAsia="Calibri" w:cs="Arial"/>
          <w:bCs/>
          <w:szCs w:val="20"/>
        </w:rPr>
        <w:t xml:space="preserve"> a p</w:t>
      </w:r>
      <w:r w:rsidR="00473B2D">
        <w:rPr>
          <w:rFonts w:eastAsia="Calibri" w:cs="Arial"/>
          <w:bCs/>
          <w:szCs w:val="20"/>
        </w:rPr>
        <w:t xml:space="preserve">ro zapojení vrtu do systému vodovodu města </w:t>
      </w:r>
      <w:r w:rsidR="00813AD6">
        <w:rPr>
          <w:rFonts w:eastAsia="Calibri" w:cs="Arial"/>
          <w:bCs/>
          <w:szCs w:val="20"/>
        </w:rPr>
        <w:t>bude</w:t>
      </w:r>
      <w:r w:rsidR="00473B2D">
        <w:rPr>
          <w:rFonts w:eastAsia="Calibri" w:cs="Arial"/>
          <w:bCs/>
          <w:szCs w:val="20"/>
        </w:rPr>
        <w:t xml:space="preserve"> nutná úprava stávajícího technologického vystrojení v současném věžovém vodojemu.</w:t>
      </w:r>
      <w:r w:rsidR="00813AD6">
        <w:rPr>
          <w:rFonts w:eastAsia="Calibri" w:cs="Arial"/>
          <w:bCs/>
          <w:szCs w:val="20"/>
        </w:rPr>
        <w:t xml:space="preserve"> Součástí bude nově dávkování chlóru. V rámci stavby dojde k opravě oplocení a vybudování nového pro ochranu vodního zdroje, osazení nové brány a branky a opravě přístupové štěrkové komunikace. </w:t>
      </w:r>
      <w:r w:rsidR="000A2F6B">
        <w:rPr>
          <w:rFonts w:eastAsia="Calibri" w:cs="Arial"/>
          <w:bCs/>
          <w:szCs w:val="20"/>
        </w:rPr>
        <w:t>Pro napojení elektro zařízení bude využit stávající připojovací bod. V obou objektech bude osazena telemetrie pro dálkové sledování stavů</w:t>
      </w:r>
      <w:r w:rsidR="009D2598">
        <w:rPr>
          <w:rFonts w:eastAsia="Calibri" w:cs="Arial"/>
          <w:bCs/>
          <w:szCs w:val="20"/>
        </w:rPr>
        <w:t xml:space="preserve"> a </w:t>
      </w:r>
      <w:r w:rsidR="004B3801">
        <w:rPr>
          <w:rFonts w:eastAsia="Calibri" w:cs="Arial"/>
          <w:bCs/>
          <w:szCs w:val="20"/>
        </w:rPr>
        <w:t>přenos dat do databáze provozovatele vodovodu</w:t>
      </w:r>
      <w:r w:rsidR="000A2F6B">
        <w:rPr>
          <w:rFonts w:eastAsia="Calibri" w:cs="Arial"/>
          <w:bCs/>
          <w:szCs w:val="20"/>
        </w:rPr>
        <w:t>.</w:t>
      </w:r>
    </w:p>
    <w:p w:rsidR="00202896" w:rsidRDefault="00D04BF9" w:rsidP="00202896">
      <w:pPr>
        <w:pStyle w:val="Standard"/>
        <w:ind w:firstLine="340"/>
        <w:jc w:val="both"/>
        <w:rPr>
          <w:rFonts w:eastAsia="Calibri" w:cs="Arial"/>
          <w:bCs/>
          <w:szCs w:val="20"/>
        </w:rPr>
      </w:pPr>
      <w:r w:rsidRPr="00202896">
        <w:rPr>
          <w:rFonts w:eastAsia="Calibri" w:cs="Arial"/>
          <w:b/>
          <w:bCs/>
          <w:szCs w:val="20"/>
        </w:rPr>
        <w:t>Objekt šachty nad vrtem</w:t>
      </w:r>
      <w:r>
        <w:rPr>
          <w:rFonts w:eastAsia="Calibri" w:cs="Arial"/>
          <w:bCs/>
          <w:szCs w:val="20"/>
        </w:rPr>
        <w:t xml:space="preserve"> bude železobetonový</w:t>
      </w:r>
      <w:r w:rsidR="005E5367">
        <w:rPr>
          <w:rFonts w:eastAsia="Calibri" w:cs="Arial"/>
          <w:bCs/>
          <w:szCs w:val="20"/>
        </w:rPr>
        <w:t>, jehož spodní část bude tvořit železobetonová vana</w:t>
      </w:r>
      <w:r>
        <w:rPr>
          <w:rFonts w:eastAsia="Calibri" w:cs="Arial"/>
          <w:bCs/>
          <w:szCs w:val="20"/>
        </w:rPr>
        <w:t xml:space="preserve"> s monolitickou základovou deskou</w:t>
      </w:r>
      <w:r w:rsidR="002550C2">
        <w:rPr>
          <w:rFonts w:eastAsia="Calibri" w:cs="Arial"/>
          <w:bCs/>
          <w:szCs w:val="20"/>
        </w:rPr>
        <w:t xml:space="preserve"> s hydroizolačním souvrstvím</w:t>
      </w:r>
      <w:r w:rsidR="002454AB">
        <w:rPr>
          <w:rFonts w:eastAsia="Calibri" w:cs="Arial"/>
          <w:bCs/>
          <w:szCs w:val="20"/>
        </w:rPr>
        <w:t>,</w:t>
      </w:r>
      <w:r w:rsidR="00AE0540">
        <w:rPr>
          <w:rFonts w:eastAsia="Calibri" w:cs="Arial"/>
          <w:bCs/>
          <w:szCs w:val="20"/>
        </w:rPr>
        <w:t xml:space="preserve"> </w:t>
      </w:r>
      <w:r w:rsidR="00E53A57">
        <w:rPr>
          <w:rFonts w:eastAsia="Calibri" w:cs="Arial"/>
          <w:bCs/>
          <w:szCs w:val="20"/>
        </w:rPr>
        <w:t xml:space="preserve">stěny nosné konstrukce z vybetonovaných tvarovek ztraceného bednění a </w:t>
      </w:r>
      <w:r>
        <w:rPr>
          <w:rFonts w:eastAsia="Calibri" w:cs="Arial"/>
          <w:bCs/>
          <w:szCs w:val="20"/>
        </w:rPr>
        <w:t>stropní desk</w:t>
      </w:r>
      <w:r w:rsidR="00AF5220">
        <w:rPr>
          <w:rFonts w:eastAsia="Calibri" w:cs="Arial"/>
          <w:bCs/>
          <w:szCs w:val="20"/>
        </w:rPr>
        <w:t>a</w:t>
      </w:r>
      <w:r>
        <w:rPr>
          <w:rFonts w:eastAsia="Calibri" w:cs="Arial"/>
          <w:bCs/>
          <w:szCs w:val="20"/>
        </w:rPr>
        <w:t xml:space="preserve"> nad 1. PP</w:t>
      </w:r>
      <w:r w:rsidR="00897E42">
        <w:rPr>
          <w:rFonts w:eastAsia="Calibri" w:cs="Arial"/>
          <w:bCs/>
          <w:szCs w:val="20"/>
        </w:rPr>
        <w:t xml:space="preserve"> s četnými revizními a montážními otvory</w:t>
      </w:r>
      <w:r w:rsidR="00AE0540">
        <w:rPr>
          <w:rFonts w:eastAsia="Calibri" w:cs="Arial"/>
          <w:bCs/>
          <w:szCs w:val="20"/>
        </w:rPr>
        <w:t xml:space="preserve">. </w:t>
      </w:r>
      <w:r w:rsidR="002550C2">
        <w:rPr>
          <w:rFonts w:eastAsia="Calibri" w:cs="Arial"/>
          <w:bCs/>
          <w:szCs w:val="20"/>
        </w:rPr>
        <w:t xml:space="preserve">V rámci ZD bude provedena čerpací jímka. </w:t>
      </w:r>
      <w:r w:rsidR="00897E42">
        <w:rPr>
          <w:rFonts w:eastAsia="Calibri" w:cs="Arial"/>
          <w:bCs/>
          <w:szCs w:val="20"/>
        </w:rPr>
        <w:t>Na spodní stavbu bude navazovat půdorysně osm</w:t>
      </w:r>
      <w:r w:rsidR="00AF5220">
        <w:rPr>
          <w:rFonts w:eastAsia="Calibri" w:cs="Arial"/>
          <w:bCs/>
          <w:szCs w:val="20"/>
        </w:rPr>
        <w:t>iúhelníková vstupní část šachty se stěnami též z tvárnic ztraceného bednění, které budou ve vrcholu pod úrovní střešní konstrukce zakončeny železobetonovým věncem.</w:t>
      </w:r>
      <w:r w:rsidR="00897E42">
        <w:rPr>
          <w:rFonts w:eastAsia="Calibri" w:cs="Arial"/>
          <w:bCs/>
          <w:szCs w:val="20"/>
        </w:rPr>
        <w:t xml:space="preserve"> </w:t>
      </w:r>
      <w:r w:rsidR="00E53A57">
        <w:rPr>
          <w:rFonts w:eastAsia="Calibri" w:cs="Arial"/>
          <w:bCs/>
          <w:szCs w:val="20"/>
        </w:rPr>
        <w:t xml:space="preserve">Vertikální komunikaci mezi patry bude zajišťovat ocelový žebřík skrze uzavíratelný poklop ve stropní desce nad 1. PP. </w:t>
      </w:r>
      <w:r w:rsidR="002454AB">
        <w:rPr>
          <w:rFonts w:eastAsia="Calibri" w:cs="Arial"/>
          <w:bCs/>
          <w:szCs w:val="20"/>
        </w:rPr>
        <w:t xml:space="preserve">V nosné konstrukci budou provedeny prostupy pro technologické rozvody dle výkresové/projektové dokumentace. </w:t>
      </w:r>
      <w:r w:rsidR="00AE0540">
        <w:rPr>
          <w:rFonts w:eastAsia="Calibri" w:cs="Arial"/>
          <w:bCs/>
          <w:szCs w:val="20"/>
        </w:rPr>
        <w:t>Střešní</w:t>
      </w:r>
      <w:r w:rsidR="006A0DB2">
        <w:rPr>
          <w:rFonts w:eastAsia="Calibri" w:cs="Arial"/>
          <w:bCs/>
          <w:szCs w:val="20"/>
        </w:rPr>
        <w:t xml:space="preserve"> kruhová</w:t>
      </w:r>
      <w:r w:rsidR="00AE0540">
        <w:rPr>
          <w:rFonts w:eastAsia="Calibri" w:cs="Arial"/>
          <w:bCs/>
          <w:szCs w:val="20"/>
        </w:rPr>
        <w:t xml:space="preserve"> nástavba </w:t>
      </w:r>
      <w:r w:rsidR="006A0DB2">
        <w:rPr>
          <w:rFonts w:eastAsia="Calibri" w:cs="Arial"/>
          <w:bCs/>
          <w:szCs w:val="20"/>
        </w:rPr>
        <w:t xml:space="preserve">ve tvaru jehlanu </w:t>
      </w:r>
      <w:r w:rsidR="00AE0540">
        <w:rPr>
          <w:rFonts w:eastAsia="Calibri" w:cs="Arial"/>
          <w:bCs/>
          <w:szCs w:val="20"/>
        </w:rPr>
        <w:t>bude tvořena dřevěným krovem, je</w:t>
      </w:r>
      <w:r w:rsidR="00EE7BCF">
        <w:rPr>
          <w:rFonts w:eastAsia="Calibri" w:cs="Arial"/>
          <w:bCs/>
          <w:szCs w:val="20"/>
        </w:rPr>
        <w:t>n</w:t>
      </w:r>
      <w:r w:rsidR="00AE0540">
        <w:rPr>
          <w:rFonts w:eastAsia="Calibri" w:cs="Arial"/>
          <w:bCs/>
          <w:szCs w:val="20"/>
        </w:rPr>
        <w:t>ž bude vynášen ocelovým prvkem uloženým na stěnách nadzemního podlaží</w:t>
      </w:r>
      <w:r w:rsidR="006A0DB2">
        <w:rPr>
          <w:rFonts w:eastAsia="Calibri" w:cs="Arial"/>
          <w:bCs/>
          <w:szCs w:val="20"/>
        </w:rPr>
        <w:t xml:space="preserve">, </w:t>
      </w:r>
      <w:r w:rsidR="00CC7B2E">
        <w:rPr>
          <w:rFonts w:eastAsia="Calibri" w:cs="Arial"/>
          <w:bCs/>
          <w:szCs w:val="20"/>
        </w:rPr>
        <w:t>důsledně provedenou parozábranou a</w:t>
      </w:r>
      <w:r w:rsidR="006A0DB2">
        <w:rPr>
          <w:rFonts w:eastAsia="Calibri" w:cs="Arial"/>
          <w:bCs/>
          <w:szCs w:val="20"/>
        </w:rPr>
        <w:t> falcovanou plechovou střešní krytinou</w:t>
      </w:r>
      <w:r w:rsidR="00AE0540">
        <w:rPr>
          <w:rFonts w:eastAsia="Calibri" w:cs="Arial"/>
          <w:bCs/>
          <w:szCs w:val="20"/>
        </w:rPr>
        <w:t>.</w:t>
      </w:r>
      <w:r w:rsidR="00EE7BCF">
        <w:rPr>
          <w:rFonts w:eastAsia="Calibri" w:cs="Arial"/>
          <w:bCs/>
          <w:szCs w:val="20"/>
        </w:rPr>
        <w:t xml:space="preserve"> </w:t>
      </w:r>
      <w:r w:rsidR="00E53A57">
        <w:rPr>
          <w:rFonts w:eastAsia="Calibri" w:cs="Arial"/>
          <w:bCs/>
          <w:szCs w:val="20"/>
        </w:rPr>
        <w:t xml:space="preserve">Zakrytí prostoru pod střechou bude řešeno SDK podhledem </w:t>
      </w:r>
      <w:r w:rsidR="00D530BD">
        <w:rPr>
          <w:rFonts w:eastAsia="Calibri" w:cs="Arial"/>
          <w:bCs/>
          <w:szCs w:val="20"/>
        </w:rPr>
        <w:t xml:space="preserve">s vloženou tepelnou izolací </w:t>
      </w:r>
      <w:r w:rsidR="00E53A57">
        <w:rPr>
          <w:rFonts w:eastAsia="Calibri" w:cs="Arial"/>
          <w:bCs/>
          <w:szCs w:val="20"/>
        </w:rPr>
        <w:t xml:space="preserve">nad nadzemní místností objektu. </w:t>
      </w:r>
      <w:r w:rsidR="00CC7B2E">
        <w:rPr>
          <w:rFonts w:eastAsia="Calibri" w:cs="Arial"/>
          <w:bCs/>
          <w:szCs w:val="20"/>
        </w:rPr>
        <w:t xml:space="preserve">Okno objektu bude plastové, s přerušeným tepelným mostem, otevíratelné, s možností mikroventilace. Vchodové dveře budou plechové, zateplené a zabezpečené (stupeň zabezpečení specifikován po konzultaci s investorem). </w:t>
      </w:r>
      <w:r w:rsidR="00726E75">
        <w:rPr>
          <w:rFonts w:eastAsia="Calibri" w:cs="Arial"/>
          <w:bCs/>
          <w:szCs w:val="20"/>
        </w:rPr>
        <w:t xml:space="preserve">Přístup k obsluze hlubokého vrtu bude zajišťovat uzamykatelný, vodotěsný, zateplený poklop. V podzemní části objektu budou železobetonové konstrukce stěn a stropu opatřeny pouze uzavíracím nátěrem. V místnosti nadzemní části stavby budou provedeny vhodné omítky včetně pozinkovaných nárožníků a uzavíracích lišt. Na omítce bude následně provedena </w:t>
      </w:r>
      <w:r w:rsidR="00726E75">
        <w:rPr>
          <w:rFonts w:eastAsia="Calibri" w:cs="Arial"/>
          <w:bCs/>
          <w:szCs w:val="20"/>
        </w:rPr>
        <w:lastRenderedPageBreak/>
        <w:t xml:space="preserve">malba. </w:t>
      </w:r>
      <w:r w:rsidR="00D530BD">
        <w:rPr>
          <w:rFonts w:eastAsia="Calibri" w:cs="Arial"/>
          <w:bCs/>
          <w:szCs w:val="20"/>
        </w:rPr>
        <w:t xml:space="preserve">Fasádu objektu bude tvořit kontaktní zateplovací systém s polystyrenovou izolací a finální povrchová úprava – probarvená tenkovrstvá omítka včetně všech systémových doplňků (lišt, soklů, apod.). </w:t>
      </w:r>
      <w:r w:rsidR="00953B00">
        <w:rPr>
          <w:rFonts w:eastAsia="Calibri" w:cs="Arial"/>
          <w:bCs/>
          <w:szCs w:val="20"/>
        </w:rPr>
        <w:t>Podlahy jsou navrženy podle účelu místností – v 1. PP bude základová deska opatřena uzavíracím nátěrem, v 1. NP epoxidovou stěrkou vhodnou do vlhkých prostorů.</w:t>
      </w:r>
    </w:p>
    <w:p w:rsidR="008F1443" w:rsidRDefault="00202896" w:rsidP="00202896">
      <w:pPr>
        <w:pStyle w:val="Standard"/>
        <w:ind w:firstLine="34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Mezi objektem pro vrt a stávajícím vodojemem bude uloženo </w:t>
      </w:r>
      <w:r w:rsidRPr="008F1443">
        <w:rPr>
          <w:rFonts w:eastAsia="Calibri" w:cs="Arial"/>
          <w:b/>
          <w:bCs/>
          <w:szCs w:val="20"/>
        </w:rPr>
        <w:t>potrubí</w:t>
      </w:r>
      <w:r>
        <w:rPr>
          <w:rFonts w:eastAsia="Calibri" w:cs="Arial"/>
          <w:bCs/>
          <w:szCs w:val="20"/>
        </w:rPr>
        <w:t xml:space="preserve"> PE 100, SDR 11, 40x3,7 mm, které povede mezi čerpadlem osazeným ve vrtu a upravenou technologií v přízemí stávajícího objektu. </w:t>
      </w:r>
      <w:r w:rsidR="00885BA7">
        <w:rPr>
          <w:rFonts w:eastAsia="Calibri" w:cs="Arial"/>
          <w:bCs/>
          <w:szCs w:val="20"/>
        </w:rPr>
        <w:t xml:space="preserve">Dále bude vybudováno odvodnění stávající armaturní šachty a šachty nově budovaného objektu, kde bude také osazeno ponorné čerpadlo. Dále bude následovat oprava stávající štěrkové </w:t>
      </w:r>
      <w:r w:rsidR="00885BA7" w:rsidRPr="008F1443">
        <w:rPr>
          <w:rFonts w:eastAsia="Calibri" w:cs="Arial"/>
          <w:b/>
          <w:bCs/>
          <w:szCs w:val="20"/>
        </w:rPr>
        <w:t>př</w:t>
      </w:r>
      <w:r w:rsidR="008F1443" w:rsidRPr="008F1443">
        <w:rPr>
          <w:rFonts w:eastAsia="Calibri" w:cs="Arial"/>
          <w:b/>
          <w:bCs/>
          <w:szCs w:val="20"/>
        </w:rPr>
        <w:t>ístupové komunikace</w:t>
      </w:r>
      <w:r w:rsidR="008F1443">
        <w:rPr>
          <w:rFonts w:eastAsia="Calibri" w:cs="Arial"/>
          <w:bCs/>
          <w:szCs w:val="20"/>
        </w:rPr>
        <w:t xml:space="preserve"> vedoucí od silnice II/290 a oprava </w:t>
      </w:r>
      <w:r w:rsidR="008F1443" w:rsidRPr="008F1443">
        <w:rPr>
          <w:rFonts w:eastAsia="Calibri" w:cs="Arial"/>
          <w:b/>
          <w:bCs/>
          <w:szCs w:val="20"/>
        </w:rPr>
        <w:t>oplocení</w:t>
      </w:r>
      <w:r w:rsidR="008F1443">
        <w:rPr>
          <w:rFonts w:eastAsia="Calibri" w:cs="Arial"/>
          <w:bCs/>
          <w:szCs w:val="20"/>
        </w:rPr>
        <w:t>, které bude zároveň rozšířeno o nové prkenné do okolí navrhovaného objektu nad vrtem (stávající nově středová část oplocení bude zrušena). Pro vjezd na pozemek bude u rohu umístěna dvoukřídlá brána a vstupní branka.</w:t>
      </w:r>
      <w:r w:rsidR="009D2598">
        <w:rPr>
          <w:rFonts w:eastAsia="Calibri" w:cs="Arial"/>
          <w:bCs/>
          <w:szCs w:val="20"/>
        </w:rPr>
        <w:t xml:space="preserve"> Přebytečná zemina z výkopových prací bude odvezena na skládku zhotovitele. </w:t>
      </w:r>
      <w:r w:rsidR="008F1443">
        <w:rPr>
          <w:rFonts w:eastAsia="Calibri" w:cs="Arial"/>
          <w:bCs/>
          <w:szCs w:val="20"/>
        </w:rPr>
        <w:t xml:space="preserve"> </w:t>
      </w:r>
    </w:p>
    <w:p w:rsidR="0011469D" w:rsidRDefault="00F77722" w:rsidP="00202896">
      <w:pPr>
        <w:pStyle w:val="Standard"/>
        <w:ind w:firstLine="34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V </w:t>
      </w:r>
      <w:r w:rsidRPr="009B7C6B">
        <w:rPr>
          <w:rFonts w:eastAsia="Calibri" w:cs="Arial"/>
          <w:b/>
          <w:bCs/>
          <w:szCs w:val="20"/>
        </w:rPr>
        <w:t>přízemí vodojemu</w:t>
      </w:r>
      <w:r>
        <w:rPr>
          <w:rFonts w:eastAsia="Calibri" w:cs="Arial"/>
          <w:bCs/>
          <w:szCs w:val="20"/>
        </w:rPr>
        <w:t xml:space="preserve"> dojde k odstranění stávajícího přístupového žebříku do armaturního prostoru včetně zábradlí</w:t>
      </w:r>
      <w:r w:rsidR="009B7C6B">
        <w:rPr>
          <w:rFonts w:eastAsia="Calibri" w:cs="Arial"/>
          <w:bCs/>
          <w:szCs w:val="20"/>
        </w:rPr>
        <w:t xml:space="preserve">, </w:t>
      </w:r>
      <w:r>
        <w:rPr>
          <w:rFonts w:eastAsia="Calibri" w:cs="Arial"/>
          <w:bCs/>
          <w:szCs w:val="20"/>
        </w:rPr>
        <w:t>odstranění omítek a poškozených podlahových souvrství</w:t>
      </w:r>
      <w:r w:rsidR="009B7C6B">
        <w:rPr>
          <w:rFonts w:eastAsia="Calibri" w:cs="Arial"/>
          <w:bCs/>
          <w:szCs w:val="20"/>
        </w:rPr>
        <w:t xml:space="preserve"> v rámci rekonstruovaných ploch a úpravě dispozičního řešení. Nenosné příčky v objektu budou zděné z keramických bloků, zakrytí prostoru nových místností bude provedeno samonosným SDK podhledem. Stávající vnější výplně – vstupní plechové dveře a okna v obvodové stěně vstupního podlaží – budou zachovány.</w:t>
      </w:r>
      <w:r w:rsidR="00BA23C3">
        <w:rPr>
          <w:rFonts w:eastAsia="Calibri" w:cs="Arial"/>
          <w:bCs/>
          <w:szCs w:val="20"/>
        </w:rPr>
        <w:t xml:space="preserve"> Interiérové dveře budou nahrazeny novými dveřními křídly vhodnými do vlhkých prostor. Prostupy inženýrských sítí jsou popsány ve výkresech stavební části projektové dokumentace. </w:t>
      </w:r>
      <w:r w:rsidR="00B52A13">
        <w:rPr>
          <w:rFonts w:eastAsia="Calibri" w:cs="Arial"/>
          <w:bCs/>
          <w:szCs w:val="20"/>
        </w:rPr>
        <w:t>Poškozené omítky obvodového zdiva v</w:t>
      </w:r>
      <w:r w:rsidR="00450291">
        <w:rPr>
          <w:rFonts w:eastAsia="Calibri" w:cs="Arial"/>
          <w:bCs/>
          <w:szCs w:val="20"/>
        </w:rPr>
        <w:t> podzemní i nadzemní části objektu bud</w:t>
      </w:r>
      <w:r w:rsidR="00B52A13">
        <w:rPr>
          <w:rFonts w:eastAsia="Calibri" w:cs="Arial"/>
          <w:bCs/>
          <w:szCs w:val="20"/>
        </w:rPr>
        <w:t>ou</w:t>
      </w:r>
      <w:r w:rsidR="00450291">
        <w:rPr>
          <w:rFonts w:eastAsia="Calibri" w:cs="Arial"/>
          <w:bCs/>
          <w:szCs w:val="20"/>
        </w:rPr>
        <w:t xml:space="preserve"> odstraněn</w:t>
      </w:r>
      <w:r w:rsidR="00B52A13">
        <w:rPr>
          <w:rFonts w:eastAsia="Calibri" w:cs="Arial"/>
          <w:bCs/>
          <w:szCs w:val="20"/>
        </w:rPr>
        <w:t>y</w:t>
      </w:r>
      <w:r w:rsidR="00450291">
        <w:rPr>
          <w:rFonts w:eastAsia="Calibri" w:cs="Arial"/>
          <w:bCs/>
          <w:szCs w:val="20"/>
        </w:rPr>
        <w:t xml:space="preserve"> a nahrazen</w:t>
      </w:r>
      <w:r w:rsidR="00B52A13">
        <w:rPr>
          <w:rFonts w:eastAsia="Calibri" w:cs="Arial"/>
          <w:bCs/>
          <w:szCs w:val="20"/>
        </w:rPr>
        <w:t>y</w:t>
      </w:r>
      <w:r w:rsidR="00450291">
        <w:rPr>
          <w:rFonts w:eastAsia="Calibri" w:cs="Arial"/>
          <w:bCs/>
          <w:szCs w:val="20"/>
        </w:rPr>
        <w:t xml:space="preserve"> nový</w:t>
      </w:r>
      <w:r w:rsidR="000A17CF">
        <w:rPr>
          <w:rFonts w:eastAsia="Calibri" w:cs="Arial"/>
          <w:bCs/>
          <w:szCs w:val="20"/>
        </w:rPr>
        <w:t>m sanačním omítkovým souvrstvím. Na novém zdivu nenosných příček bude též provedeno systémové omítkové souvrství vhodné do vlhkých prostor.</w:t>
      </w:r>
      <w:r w:rsidR="0011469D">
        <w:rPr>
          <w:rFonts w:eastAsia="Calibri" w:cs="Arial"/>
          <w:bCs/>
          <w:szCs w:val="20"/>
        </w:rPr>
        <w:t xml:space="preserve"> Povrch stropu v 1. PP zůstane zachován, předpokládá se pouze lokální oprava poškozených míst vhodnou sanační hmotou. Podlahy budou ponechány původní betonové, pouze v místnosti pro desinfekci vody bude pod technologickým zařízením položena plastová podlaha PVC.</w:t>
      </w:r>
    </w:p>
    <w:p w:rsidR="0065629C" w:rsidRDefault="00F1233B" w:rsidP="0065629C">
      <w:pPr>
        <w:pStyle w:val="Standard"/>
        <w:ind w:firstLine="34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Pro zapojení nového vrtu do systému bude provedena úprava stávajícího </w:t>
      </w:r>
      <w:r w:rsidRPr="00F1233B">
        <w:rPr>
          <w:rFonts w:eastAsia="Calibri" w:cs="Arial"/>
          <w:b/>
          <w:bCs/>
          <w:szCs w:val="20"/>
        </w:rPr>
        <w:t>technologického vystrojení</w:t>
      </w:r>
      <w:r>
        <w:rPr>
          <w:rFonts w:eastAsia="Calibri" w:cs="Arial"/>
          <w:bCs/>
          <w:szCs w:val="20"/>
        </w:rPr>
        <w:t xml:space="preserve"> věžového vodojemu. Do přízemí vodojemu bude přivedenou nové potrubí PE 40, které přes sestavu armatur bude napojeno na stávající vystrojení. Dojde také k osazení armatur na současný přivaděč pro možnost regulace a úpravy jednotlivých přítoků do vodojemu. Tento objekt bude nově vybaven zařízením pro desinfekci vody. </w:t>
      </w:r>
      <w:r w:rsidR="000867ED">
        <w:rPr>
          <w:rFonts w:eastAsia="Calibri" w:cs="Arial"/>
          <w:bCs/>
          <w:szCs w:val="20"/>
        </w:rPr>
        <w:t>Soupis technologického vybavení</w:t>
      </w:r>
      <w:r w:rsidR="003962A8">
        <w:rPr>
          <w:rFonts w:eastAsia="Calibri" w:cs="Arial"/>
          <w:bCs/>
          <w:szCs w:val="20"/>
        </w:rPr>
        <w:t xml:space="preserve"> objektu</w:t>
      </w:r>
      <w:r w:rsidR="006A6B75">
        <w:rPr>
          <w:rFonts w:eastAsia="Calibri" w:cs="Arial"/>
          <w:bCs/>
          <w:szCs w:val="20"/>
        </w:rPr>
        <w:t xml:space="preserve">, popis </w:t>
      </w:r>
      <w:r w:rsidR="006A6B75" w:rsidRPr="006A6B75">
        <w:rPr>
          <w:rFonts w:eastAsia="Calibri" w:cs="Arial"/>
          <w:b/>
          <w:bCs/>
          <w:szCs w:val="20"/>
        </w:rPr>
        <w:t>elektroinstalace</w:t>
      </w:r>
      <w:r w:rsidR="006A6B75">
        <w:rPr>
          <w:rFonts w:eastAsia="Calibri" w:cs="Arial"/>
          <w:bCs/>
          <w:szCs w:val="20"/>
        </w:rPr>
        <w:t xml:space="preserve"> a kabelových rozvodů</w:t>
      </w:r>
      <w:r w:rsidR="000867ED">
        <w:rPr>
          <w:rFonts w:eastAsia="Calibri" w:cs="Arial"/>
          <w:bCs/>
          <w:szCs w:val="20"/>
        </w:rPr>
        <w:t xml:space="preserve"> je </w:t>
      </w:r>
      <w:r w:rsidR="006A6B75">
        <w:rPr>
          <w:rFonts w:eastAsia="Calibri" w:cs="Arial"/>
          <w:bCs/>
          <w:szCs w:val="20"/>
        </w:rPr>
        <w:t xml:space="preserve">podrobně </w:t>
      </w:r>
      <w:r w:rsidR="000867ED">
        <w:rPr>
          <w:rFonts w:eastAsia="Calibri" w:cs="Arial"/>
          <w:bCs/>
          <w:szCs w:val="20"/>
        </w:rPr>
        <w:t>uveden v technické zprávě SO 06 – Technologie</w:t>
      </w:r>
      <w:r w:rsidR="006A6B75">
        <w:rPr>
          <w:rFonts w:eastAsia="Calibri" w:cs="Arial"/>
          <w:bCs/>
          <w:szCs w:val="20"/>
        </w:rPr>
        <w:t>, SO 07 – Elektro + ovládání</w:t>
      </w:r>
      <w:r w:rsidR="000867ED">
        <w:rPr>
          <w:rFonts w:eastAsia="Calibri" w:cs="Arial"/>
          <w:bCs/>
          <w:szCs w:val="20"/>
        </w:rPr>
        <w:t>.</w:t>
      </w:r>
      <w:r w:rsidR="006A6B75">
        <w:rPr>
          <w:rFonts w:eastAsia="Calibri" w:cs="Arial"/>
          <w:bCs/>
          <w:szCs w:val="20"/>
        </w:rPr>
        <w:t xml:space="preserve"> </w:t>
      </w:r>
    </w:p>
    <w:p w:rsidR="00EA5A97" w:rsidRPr="002C1B65" w:rsidRDefault="000460FA" w:rsidP="0065629C">
      <w:pPr>
        <w:pStyle w:val="Standard"/>
        <w:ind w:firstLine="340"/>
        <w:jc w:val="both"/>
        <w:rPr>
          <w:rFonts w:eastAsia="Calibri" w:cs="Arial"/>
          <w:bCs/>
          <w:szCs w:val="20"/>
        </w:rPr>
      </w:pPr>
      <w:r w:rsidRPr="0065629C">
        <w:rPr>
          <w:rFonts w:eastAsia="Calibri" w:cs="Arial"/>
          <w:bCs/>
          <w:szCs w:val="20"/>
        </w:rPr>
        <w:t>Při předání staveniště je zhotovitel povinen zajistit vytyčení, případně ověření všech stávajících podzemních sítí</w:t>
      </w:r>
      <w:r>
        <w:rPr>
          <w:rFonts w:eastAsia="Calibri" w:cs="Arial"/>
          <w:bCs/>
          <w:szCs w:val="20"/>
        </w:rPr>
        <w:t xml:space="preserve"> a zařízení příslušnými správci, a zaznamenat tyto sítě i zařízení do stavebního deníku. Dodavatel nesmí zahájit výkopové práce před vytyčením a ověřením stavu všech podzemních sítí a zařízení zástupci správců. Při odhalení neznámé sítě či zařízení nesmí dodavatel pokračovat ve výkopových pracích</w:t>
      </w:r>
      <w:r w:rsidR="00350859">
        <w:rPr>
          <w:rFonts w:eastAsia="Calibri" w:cs="Arial"/>
          <w:bCs/>
          <w:szCs w:val="20"/>
        </w:rPr>
        <w:t xml:space="preserve"> před zjištěním </w:t>
      </w:r>
      <w:r>
        <w:rPr>
          <w:rFonts w:eastAsia="Calibri" w:cs="Arial"/>
          <w:bCs/>
          <w:szCs w:val="20"/>
        </w:rPr>
        <w:t>maj</w:t>
      </w:r>
      <w:r w:rsidR="00350859">
        <w:rPr>
          <w:rFonts w:eastAsia="Calibri" w:cs="Arial"/>
          <w:bCs/>
          <w:szCs w:val="20"/>
        </w:rPr>
        <w:t xml:space="preserve">itele takové sítě či zařízení je povinen </w:t>
      </w:r>
      <w:r>
        <w:rPr>
          <w:rFonts w:eastAsia="Calibri" w:cs="Arial"/>
          <w:bCs/>
          <w:szCs w:val="20"/>
        </w:rPr>
        <w:t xml:space="preserve">informovat investora, projektanta a autorský dozor. Pokračování prací je možné až po ověření neznámé sítě. </w:t>
      </w:r>
      <w:r w:rsidR="00F32A8A">
        <w:rPr>
          <w:rFonts w:eastAsia="Calibri" w:cs="Arial"/>
          <w:bCs/>
          <w:szCs w:val="20"/>
        </w:rPr>
        <w:t xml:space="preserve">Povrchy </w:t>
      </w:r>
      <w:r>
        <w:rPr>
          <w:rFonts w:eastAsia="Calibri" w:cs="Arial"/>
          <w:bCs/>
          <w:szCs w:val="20"/>
        </w:rPr>
        <w:t>dotčen</w:t>
      </w:r>
      <w:r w:rsidR="00F32A8A">
        <w:rPr>
          <w:rFonts w:eastAsia="Calibri" w:cs="Arial"/>
          <w:bCs/>
          <w:szCs w:val="20"/>
        </w:rPr>
        <w:t xml:space="preserve">ých komunikací </w:t>
      </w:r>
      <w:r>
        <w:rPr>
          <w:rFonts w:eastAsia="Calibri" w:cs="Arial"/>
          <w:bCs/>
          <w:szCs w:val="20"/>
        </w:rPr>
        <w:t xml:space="preserve">budou </w:t>
      </w:r>
      <w:r w:rsidR="00F32A8A">
        <w:rPr>
          <w:rFonts w:eastAsia="Calibri" w:cs="Arial"/>
          <w:bCs/>
          <w:szCs w:val="20"/>
        </w:rPr>
        <w:t xml:space="preserve">uvedeny </w:t>
      </w:r>
      <w:r>
        <w:rPr>
          <w:rFonts w:eastAsia="Calibri" w:cs="Arial"/>
          <w:bCs/>
          <w:szCs w:val="20"/>
        </w:rPr>
        <w:t xml:space="preserve">do původního stavu. </w:t>
      </w:r>
      <w:r w:rsidRPr="000D64B5">
        <w:rPr>
          <w:rFonts w:eastAsia="Calibri" w:cs="Arial"/>
          <w:b/>
          <w:bCs/>
          <w:szCs w:val="20"/>
        </w:rPr>
        <w:t>Při stavbě je nutné omezit</w:t>
      </w:r>
      <w:r>
        <w:rPr>
          <w:rFonts w:eastAsia="Calibri" w:cs="Arial"/>
          <w:bCs/>
          <w:szCs w:val="20"/>
        </w:rPr>
        <w:t xml:space="preserve"> v co největší míře případnou prašnost, dbát maximální ohleduplnosti a omezení hlučnosti. </w:t>
      </w:r>
      <w:r w:rsidRPr="00B01C11">
        <w:rPr>
          <w:rFonts w:eastAsia="Calibri" w:cs="Arial"/>
          <w:bCs/>
          <w:szCs w:val="20"/>
        </w:rPr>
        <w:t>Staveniště bude řádně zabezpečeno</w:t>
      </w:r>
      <w:r>
        <w:rPr>
          <w:rFonts w:eastAsia="Calibri" w:cs="Arial"/>
          <w:bCs/>
          <w:szCs w:val="20"/>
        </w:rPr>
        <w:t xml:space="preserve"> proti vstupu nepovolaným osobám</w:t>
      </w:r>
      <w:r w:rsidRPr="00B01C11">
        <w:rPr>
          <w:rFonts w:eastAsia="Calibri" w:cs="Arial"/>
          <w:bCs/>
          <w:szCs w:val="20"/>
        </w:rPr>
        <w:t xml:space="preserve">, všechny překážky budou označeny, v průběhu stavebních prací bude na komunikaci </w:t>
      </w:r>
      <w:r w:rsidR="00F32A8A">
        <w:rPr>
          <w:rFonts w:eastAsia="Calibri" w:cs="Arial"/>
          <w:bCs/>
          <w:szCs w:val="20"/>
        </w:rPr>
        <w:t xml:space="preserve">II/290 </w:t>
      </w:r>
      <w:r w:rsidRPr="00B01C11">
        <w:rPr>
          <w:rFonts w:eastAsia="Calibri" w:cs="Arial"/>
          <w:bCs/>
          <w:szCs w:val="20"/>
        </w:rPr>
        <w:t>osazeno dočasné dopravní značení</w:t>
      </w:r>
      <w:r w:rsidR="00F32A8A">
        <w:rPr>
          <w:rFonts w:eastAsia="Calibri" w:cs="Arial"/>
          <w:bCs/>
          <w:szCs w:val="20"/>
        </w:rPr>
        <w:t xml:space="preserve"> zabezpečující bezpečnost provozu</w:t>
      </w:r>
      <w:r w:rsidR="009D2598">
        <w:rPr>
          <w:rFonts w:eastAsia="Calibri" w:cs="Arial"/>
          <w:bCs/>
          <w:szCs w:val="20"/>
        </w:rPr>
        <w:t>.</w:t>
      </w:r>
      <w:r w:rsidRPr="00B01C11">
        <w:rPr>
          <w:rFonts w:eastAsia="Calibri" w:cs="Arial"/>
          <w:bCs/>
          <w:szCs w:val="20"/>
        </w:rPr>
        <w:t xml:space="preserve"> Před započetím těchto prací bude tento </w:t>
      </w:r>
      <w:r>
        <w:rPr>
          <w:rFonts w:eastAsia="Calibri" w:cs="Arial"/>
          <w:bCs/>
          <w:szCs w:val="20"/>
        </w:rPr>
        <w:t>záměr ohlášen všem složkám IZS.</w:t>
      </w:r>
      <w:r w:rsidR="002C1B65">
        <w:rPr>
          <w:rFonts w:eastAsia="Calibri" w:cs="Arial"/>
          <w:bCs/>
          <w:szCs w:val="20"/>
        </w:rPr>
        <w:t xml:space="preserve"> </w:t>
      </w:r>
      <w:r w:rsidR="009D2598" w:rsidRPr="00520C03">
        <w:rPr>
          <w:rFonts w:eastAsia="Calibri" w:cs="Arial"/>
          <w:b/>
          <w:bCs/>
          <w:szCs w:val="20"/>
        </w:rPr>
        <w:t>Podrobné informace o stavbě jsou obsaženy v projektové dokumentaci</w:t>
      </w:r>
      <w:r w:rsidR="002C1B65">
        <w:rPr>
          <w:rFonts w:eastAsia="Calibri" w:cs="Arial"/>
          <w:b/>
          <w:bCs/>
          <w:szCs w:val="20"/>
        </w:rPr>
        <w:t>, která je součástí zadávací dokumentace.</w:t>
      </w:r>
    </w:p>
    <w:p w:rsidR="00EA5A97" w:rsidRDefault="001B1534" w:rsidP="00EA5A97">
      <w:pPr>
        <w:pStyle w:val="Standard"/>
        <w:spacing w:before="120"/>
        <w:jc w:val="both"/>
        <w:rPr>
          <w:rFonts w:eastAsia="Calibri" w:cs="Arial"/>
          <w:bCs/>
          <w:szCs w:val="20"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EA5A97" w:rsidRDefault="001B1534" w:rsidP="00EA5A97">
      <w:pPr>
        <w:pStyle w:val="Standard"/>
        <w:spacing w:before="120" w:after="20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color w:val="000000"/>
          <w:sz w:val="21"/>
          <w:szCs w:val="21"/>
        </w:rPr>
        <w:t xml:space="preserve">Zadavatel si vyhrazuje právo na upřesnění rozsahu předmětu díla po ukončení výběrového řízení. 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965A22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1F123C">
        <w:rPr>
          <w:rFonts w:eastAsia="Calibri" w:cs="Arial"/>
          <w:szCs w:val="20"/>
        </w:rPr>
        <w:t xml:space="preserve">Stavební pozemek se nachází na okraji města </w:t>
      </w:r>
      <w:r w:rsidR="00680E81">
        <w:rPr>
          <w:rFonts w:eastAsia="Calibri" w:cs="Arial"/>
          <w:szCs w:val="20"/>
        </w:rPr>
        <w:t>Vysoké nad Jizerou</w:t>
      </w:r>
      <w:r w:rsidR="001F123C">
        <w:rPr>
          <w:rFonts w:eastAsia="Calibri" w:cs="Arial"/>
          <w:szCs w:val="20"/>
        </w:rPr>
        <w:t xml:space="preserve">, jedná se o pozemek č. 1148/3 v </w:t>
      </w:r>
      <w:r w:rsidR="00E10F4B">
        <w:rPr>
          <w:rFonts w:eastAsia="Calibri" w:cs="Arial"/>
          <w:szCs w:val="20"/>
        </w:rPr>
        <w:t>k. ú</w:t>
      </w:r>
      <w:r w:rsidR="00965A22">
        <w:rPr>
          <w:rFonts w:eastAsia="Calibri" w:cs="Arial"/>
          <w:szCs w:val="20"/>
        </w:rPr>
        <w:t>. Vysoké nad Jizerou</w:t>
      </w:r>
      <w:r w:rsidR="001F123C">
        <w:rPr>
          <w:rFonts w:eastAsia="Calibri" w:cs="Arial"/>
          <w:szCs w:val="20"/>
        </w:rPr>
        <w:t xml:space="preserve">, který je zatravněný se sklonem 5 % a nachází se na něm věžový vodojem. Pozemek je přístupný z přilehlé silnice II/290. </w:t>
      </w:r>
      <w:r w:rsidR="00965A22">
        <w:rPr>
          <w:rFonts w:eastAsia="Calibri" w:cs="Arial"/>
          <w:szCs w:val="20"/>
        </w:rPr>
        <w:t xml:space="preserve"> </w:t>
      </w:r>
      <w:r w:rsidR="00E10F4B">
        <w:rPr>
          <w:rFonts w:eastAsia="Calibri" w:cs="Arial"/>
          <w:szCs w:val="20"/>
        </w:rPr>
        <w:t xml:space="preserve"> 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D8334C" w:rsidRPr="00762CB7" w:rsidRDefault="001B1534" w:rsidP="00F5358E">
      <w:pPr>
        <w:pStyle w:val="Standard"/>
        <w:jc w:val="both"/>
        <w:rPr>
          <w:rFonts w:eastAsia="Calibri" w:cs="Arial"/>
          <w:b/>
          <w:szCs w:val="20"/>
        </w:rPr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  <w:r w:rsidR="00D8334C">
        <w:rPr>
          <w:rFonts w:eastAsia="Calibri" w:cs="Calibri"/>
          <w:color w:val="000000"/>
          <w:szCs w:val="20"/>
        </w:rPr>
        <w:t xml:space="preserve"> </w:t>
      </w:r>
      <w:r w:rsidR="00D8334C" w:rsidRPr="00762CB7">
        <w:rPr>
          <w:rFonts w:eastAsia="Calibri" w:cs="Arial"/>
          <w:b/>
          <w:szCs w:val="20"/>
        </w:rPr>
        <w:t xml:space="preserve">Předpokládaná cena stavby je </w:t>
      </w:r>
      <w:r w:rsidR="00160862">
        <w:rPr>
          <w:rFonts w:eastAsia="Calibri" w:cs="Arial"/>
          <w:b/>
          <w:szCs w:val="20"/>
        </w:rPr>
        <w:t>2</w:t>
      </w:r>
      <w:r w:rsidR="00CB0EE7">
        <w:rPr>
          <w:rFonts w:eastAsia="Calibri" w:cs="Arial"/>
          <w:b/>
          <w:szCs w:val="20"/>
        </w:rPr>
        <w:t>.</w:t>
      </w:r>
      <w:r w:rsidR="00E067E9">
        <w:rPr>
          <w:rFonts w:eastAsia="Calibri" w:cs="Arial"/>
          <w:b/>
          <w:szCs w:val="20"/>
        </w:rPr>
        <w:t>4</w:t>
      </w:r>
      <w:r w:rsidR="0014436B">
        <w:rPr>
          <w:rFonts w:eastAsia="Calibri" w:cs="Arial"/>
          <w:b/>
          <w:szCs w:val="20"/>
        </w:rPr>
        <w:t>00</w:t>
      </w:r>
      <w:r w:rsidR="00D8334C" w:rsidRPr="00762CB7">
        <w:rPr>
          <w:rFonts w:eastAsia="Calibri" w:cs="Arial"/>
          <w:b/>
          <w:szCs w:val="20"/>
        </w:rPr>
        <w:t>.000,- Kč</w:t>
      </w:r>
      <w:r w:rsidR="00D8334C">
        <w:rPr>
          <w:rFonts w:eastAsia="Calibri" w:cs="Arial"/>
          <w:b/>
          <w:szCs w:val="20"/>
        </w:rPr>
        <w:t xml:space="preserve"> bez DPH.</w:t>
      </w:r>
    </w:p>
    <w:p w:rsidR="001B1534" w:rsidRDefault="001B1534" w:rsidP="00F5358E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lastRenderedPageBreak/>
              <w:t>DOBA PLNĚNÍ</w:t>
            </w:r>
          </w:p>
        </w:tc>
      </w:tr>
    </w:tbl>
    <w:p w:rsidR="001B1534" w:rsidRPr="00FE19BF" w:rsidRDefault="00CA548C" w:rsidP="004243BE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 xml:space="preserve">práce mohou začít </w:t>
      </w:r>
      <w:r w:rsidR="00E067E9" w:rsidRPr="00E067E9">
        <w:rPr>
          <w:rFonts w:eastAsia="Calibri" w:cs="Arial"/>
          <w:b/>
          <w:szCs w:val="20"/>
        </w:rPr>
        <w:t xml:space="preserve">15. </w:t>
      </w:r>
      <w:r w:rsidR="006F0804">
        <w:rPr>
          <w:rFonts w:eastAsia="Calibri" w:cs="Arial"/>
          <w:b/>
          <w:szCs w:val="20"/>
        </w:rPr>
        <w:t>března</w:t>
      </w:r>
      <w:r w:rsidR="00E067E9" w:rsidRPr="00E067E9">
        <w:rPr>
          <w:rFonts w:eastAsia="Calibri" w:cs="Arial"/>
          <w:b/>
          <w:szCs w:val="20"/>
        </w:rPr>
        <w:t xml:space="preserve"> 201</w:t>
      </w:r>
      <w:r w:rsidR="006F0804">
        <w:rPr>
          <w:rFonts w:eastAsia="Calibri" w:cs="Arial"/>
          <w:b/>
          <w:szCs w:val="20"/>
        </w:rPr>
        <w:t>9</w:t>
      </w:r>
      <w:r w:rsidR="00E067E9">
        <w:rPr>
          <w:rFonts w:eastAsia="Calibri" w:cs="Arial"/>
          <w:szCs w:val="20"/>
        </w:rPr>
        <w:t>, po podpisu</w:t>
      </w:r>
      <w:r w:rsidR="00965A22">
        <w:rPr>
          <w:rFonts w:eastAsia="Calibri" w:cs="Arial"/>
          <w:szCs w:val="20"/>
        </w:rPr>
        <w:t xml:space="preserve"> </w:t>
      </w:r>
      <w:r w:rsidR="00E067E9">
        <w:rPr>
          <w:rFonts w:eastAsia="Calibri" w:cs="Arial"/>
          <w:szCs w:val="20"/>
        </w:rPr>
        <w:t xml:space="preserve">smlouvy </w:t>
      </w:r>
      <w:r w:rsidR="00965A22">
        <w:rPr>
          <w:rFonts w:eastAsia="Calibri" w:cs="Arial"/>
          <w:szCs w:val="20"/>
        </w:rPr>
        <w:t>o dílo s vybraným zhotovitelem</w:t>
      </w:r>
      <w:r w:rsidR="00E10F4B">
        <w:rPr>
          <w:rFonts w:eastAsia="Calibri" w:cs="Arial"/>
          <w:szCs w:val="20"/>
        </w:rPr>
        <w:t>,</w:t>
      </w:r>
    </w:p>
    <w:p w:rsidR="001B1534" w:rsidRDefault="00B1286F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dokončení výstavby objektu, zapojení vrtu do systému vodovodu města včetně jeho uvedení do provozu se požaduje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E067E9" w:rsidRPr="00E067E9">
        <w:rPr>
          <w:rFonts w:eastAsia="Calibri" w:cs="Arial"/>
          <w:b/>
          <w:szCs w:val="20"/>
        </w:rPr>
        <w:t>3</w:t>
      </w:r>
      <w:r w:rsidR="006F0804">
        <w:rPr>
          <w:rFonts w:eastAsia="Calibri" w:cs="Arial"/>
          <w:b/>
          <w:szCs w:val="20"/>
        </w:rPr>
        <w:t>0</w:t>
      </w:r>
      <w:r w:rsidR="00E067E9" w:rsidRPr="00E067E9">
        <w:rPr>
          <w:rFonts w:eastAsia="Calibri" w:cs="Arial"/>
          <w:b/>
          <w:szCs w:val="20"/>
        </w:rPr>
        <w:t xml:space="preserve">. </w:t>
      </w:r>
      <w:r w:rsidR="006F0804">
        <w:rPr>
          <w:rFonts w:eastAsia="Calibri" w:cs="Arial"/>
          <w:b/>
          <w:szCs w:val="20"/>
        </w:rPr>
        <w:t>listopadu</w:t>
      </w:r>
      <w:r w:rsidR="00E067E9" w:rsidRPr="00E067E9">
        <w:rPr>
          <w:rFonts w:eastAsia="Calibri" w:cs="Arial"/>
          <w:b/>
          <w:szCs w:val="20"/>
        </w:rPr>
        <w:t xml:space="preserve"> 2019</w:t>
      </w:r>
      <w:r w:rsidR="00965A22">
        <w:rPr>
          <w:rFonts w:eastAsia="Calibri" w:cs="Arial"/>
          <w:szCs w:val="20"/>
        </w:rPr>
        <w:t>.</w:t>
      </w:r>
    </w:p>
    <w:p w:rsidR="00965A22" w:rsidRPr="00503976" w:rsidRDefault="00965A22" w:rsidP="00965A22">
      <w:pPr>
        <w:pStyle w:val="Standard"/>
        <w:autoSpaceDE w:val="0"/>
        <w:jc w:val="both"/>
        <w:rPr>
          <w:rFonts w:eastAsia="Calibr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</w:t>
      </w:r>
      <w:r w:rsidR="00B951FA">
        <w:rPr>
          <w:rFonts w:eastAsia="Calibri" w:cs="Calibri"/>
          <w:color w:val="000000"/>
          <w:szCs w:val="20"/>
        </w:rPr>
        <w:t xml:space="preserve">XLS </w:t>
      </w:r>
      <w:r>
        <w:rPr>
          <w:rFonts w:eastAsia="Calibri" w:cs="Calibri"/>
          <w:color w:val="000000"/>
          <w:szCs w:val="20"/>
        </w:rPr>
        <w:t>(003_Kryci_list_vzor.xls), který je součástí zadávací dokumentace.</w:t>
      </w:r>
    </w:p>
    <w:p w:rsidR="001B1534" w:rsidRPr="00E10F4B" w:rsidRDefault="001B1534" w:rsidP="00E10F4B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2C1B65">
        <w:rPr>
          <w:rFonts w:eastAsia="Calibri" w:cs="Calibri"/>
          <w:color w:val="000000"/>
          <w:szCs w:val="20"/>
        </w:rPr>
        <w:t xml:space="preserve">, jejíž </w:t>
      </w:r>
      <w:r>
        <w:rPr>
          <w:rFonts w:eastAsia="Calibri" w:cs="Calibri"/>
          <w:color w:val="000000"/>
          <w:szCs w:val="20"/>
        </w:rPr>
        <w:t xml:space="preserve">vzor </w:t>
      </w:r>
      <w:r w:rsidR="002C1B65">
        <w:rPr>
          <w:rFonts w:eastAsia="Calibri" w:cs="Calibri"/>
          <w:color w:val="000000"/>
          <w:szCs w:val="20"/>
        </w:rPr>
        <w:t>je součástí zadávací dokumentace</w:t>
      </w:r>
      <w:r>
        <w:rPr>
          <w:rFonts w:eastAsia="Calibri" w:cs="Calibri"/>
          <w:color w:val="000000"/>
          <w:szCs w:val="20"/>
        </w:rPr>
        <w:t>.</w:t>
      </w:r>
      <w:r w:rsidR="00E10F4B">
        <w:rPr>
          <w:rFonts w:eastAsia="Calibri" w:cs="Calibri"/>
          <w:szCs w:val="20"/>
        </w:rPr>
        <w:t xml:space="preserve"> </w:t>
      </w:r>
      <w:r w:rsidRPr="00503976">
        <w:rPr>
          <w:b/>
        </w:rPr>
        <w:t xml:space="preserve">Nabídková cena </w:t>
      </w:r>
      <w:r w:rsidR="004C6F86" w:rsidRPr="00503976">
        <w:rPr>
          <w:b/>
        </w:rPr>
        <w:t>bez DPH</w:t>
      </w:r>
      <w:r w:rsidR="004C6F86" w:rsidRPr="00503976">
        <w:t xml:space="preserve"> </w:t>
      </w:r>
      <w:r>
        <w:t>je předmětem hodnocení.</w:t>
      </w:r>
    </w:p>
    <w:p w:rsidR="00D8334C" w:rsidRDefault="00D8334C" w:rsidP="00B81463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F6267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D8334C">
      <w:pPr>
        <w:pStyle w:val="Standard"/>
        <w:autoSpaceDE w:val="0"/>
        <w:spacing w:before="120"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 w:rsidRPr="00BD7F8C">
        <w:rPr>
          <w:rFonts w:eastAsia="ArialMT, 'Times New Roman'" w:cs="Arial"/>
          <w:b/>
          <w:szCs w:val="20"/>
        </w:rPr>
        <w:t>Základní kvalifikační předpoklady</w:t>
      </w:r>
      <w:r>
        <w:rPr>
          <w:rFonts w:eastAsia="ArialMT, 'Times New Roman'" w:cs="Arial"/>
          <w:szCs w:val="20"/>
        </w:rPr>
        <w:t xml:space="preserve"> uchazeč doloží předložením čestného prohlášení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Pr="00BD7F8C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 w:rsidRPr="00BD7F8C">
        <w:rPr>
          <w:rFonts w:eastAsia="Calibri" w:cs="Arial"/>
          <w:bCs/>
          <w:szCs w:val="20"/>
        </w:rPr>
        <w:t>oprávnění k </w:t>
      </w:r>
      <w:r w:rsidRPr="00BD7F8C">
        <w:rPr>
          <w:rFonts w:eastAsia="Calibri" w:cs="Arial"/>
          <w:bCs/>
          <w:szCs w:val="20"/>
        </w:rPr>
        <w:t>podnikání</w:t>
      </w:r>
      <w:r w:rsidRPr="00BD7F8C"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1B1534">
      <w:pPr>
        <w:pStyle w:val="Standard"/>
        <w:ind w:left="850"/>
        <w:jc w:val="both"/>
        <w:rPr>
          <w:rFonts w:eastAsia="ArialMT, 'Times New Roman'" w:cs="Arial"/>
          <w:sz w:val="12"/>
          <w:szCs w:val="12"/>
        </w:rPr>
      </w:pP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 w:rsidRPr="00BD7F8C">
        <w:rPr>
          <w:rFonts w:eastAsia="ArialMT, 'Times New Roman'" w:cs="Arial"/>
          <w:szCs w:val="20"/>
        </w:rPr>
        <w:t>prosté kopie, případně výpisy pořízené dálkově elektronickou formou. Předkládané dokumenty nesmějí být ke</w:t>
      </w:r>
      <w:r>
        <w:rPr>
          <w:rFonts w:eastAsia="ArialMT, 'Times New Roman'" w:cs="Arial"/>
          <w:szCs w:val="20"/>
        </w:rPr>
        <w:t xml:space="preserve">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Pr="00E10F4B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74FDC">
        <w:t>realizace</w:t>
      </w:r>
      <w:r w:rsidR="00E10F4B">
        <w:t xml:space="preserve"> </w:t>
      </w:r>
      <w:r w:rsidR="00BD7F8C">
        <w:t xml:space="preserve">objektů sloužících k vodárenským účelům </w:t>
      </w:r>
      <w:r w:rsidR="00E067E9">
        <w:t>/</w:t>
      </w:r>
      <w:r w:rsidR="00BD7F8C">
        <w:t>pro vodní zdroje</w:t>
      </w:r>
      <w:r w:rsidR="00E067E9">
        <w:t>/</w:t>
      </w:r>
      <w:r w:rsidR="00E10F4B">
        <w:t xml:space="preserve">, </w:t>
      </w:r>
      <w:r w:rsidR="00BD7F8C">
        <w:t>každý</w:t>
      </w:r>
      <w:r w:rsidR="00965A22">
        <w:t xml:space="preserve"> v </w:t>
      </w:r>
      <w:r w:rsidR="00003CDC" w:rsidRPr="00626F80">
        <w:t xml:space="preserve">hodnotě minimálně </w:t>
      </w:r>
      <w:r w:rsidR="002E1F5C">
        <w:t>1.0</w:t>
      </w:r>
      <w:r w:rsidR="00965A22">
        <w:t>00</w:t>
      </w:r>
      <w:r w:rsidR="00003CDC" w:rsidRPr="00626F80">
        <w:t>.</w:t>
      </w:r>
      <w:r w:rsidR="00560D67">
        <w:t>000 </w:t>
      </w:r>
      <w:r w:rsidR="00003CDC" w:rsidRPr="00626F80">
        <w:t>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</w:t>
      </w:r>
      <w:r w:rsidR="00E10F4B">
        <w:t>ce (005_TKP_referen</w:t>
      </w:r>
      <w:r w:rsidR="00965A22">
        <w:t>ce_vzor.xls)</w:t>
      </w:r>
      <w:r w:rsidR="00E10F4B"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Pr="004C661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b/>
          <w:szCs w:val="20"/>
        </w:rPr>
      </w:pPr>
      <w:r w:rsidRPr="004C6614">
        <w:rPr>
          <w:rFonts w:eastAsia="Calibri" w:cs="Calibri"/>
          <w:b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BA6316">
      <w:pPr>
        <w:pStyle w:val="Standard"/>
        <w:spacing w:after="12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C65509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4A0FFB" w:rsidRDefault="004A0FFB" w:rsidP="004A0FFB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134/2016 Sb., o zadávání veřejných zakázek, v platném znění.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697B0C" w:rsidRPr="00697B0C" w:rsidRDefault="00697B0C" w:rsidP="00697B0C">
      <w:pPr>
        <w:pStyle w:val="Odstavecseseznamem"/>
        <w:spacing w:before="57"/>
        <w:ind w:left="0"/>
        <w:jc w:val="both"/>
        <w:rPr>
          <w:rFonts w:ascii="Calibri" w:eastAsia="Calibri" w:hAnsi="Calibri" w:cs="Calibri"/>
          <w:sz w:val="20"/>
          <w:szCs w:val="20"/>
        </w:rPr>
      </w:pPr>
      <w:r w:rsidRPr="00697B0C">
        <w:rPr>
          <w:rFonts w:ascii="Calibri" w:eastAsia="Calibri" w:hAnsi="Calibri" w:cs="Calibri"/>
          <w:sz w:val="20"/>
          <w:szCs w:val="20"/>
        </w:rPr>
        <w:t xml:space="preserve">Jednotlivé nabídky budou 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 xml:space="preserve">hodnoceny podle jediného hodnotícího kritéria, kterým je </w:t>
      </w:r>
      <w:r w:rsidRPr="00697B0C">
        <w:rPr>
          <w:rFonts w:ascii="Calibri" w:eastAsia="Calibri" w:hAnsi="Calibri" w:cs="Calibri"/>
          <w:b/>
          <w:color w:val="000000"/>
          <w:sz w:val="20"/>
          <w:szCs w:val="20"/>
        </w:rPr>
        <w:t>výše nabídkové ceny bez DPH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>. Jako </w:t>
      </w:r>
      <w:r w:rsidRPr="00697B0C">
        <w:rPr>
          <w:rFonts w:ascii="Calibri" w:eastAsia="Calibri" w:hAnsi="Calibri" w:cs="Calibri"/>
          <w:b/>
          <w:color w:val="000000"/>
          <w:sz w:val="20"/>
          <w:szCs w:val="20"/>
        </w:rPr>
        <w:t>nejvýhodnější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 xml:space="preserve"> tak bude označena ta </w:t>
      </w:r>
      <w:r w:rsidRPr="00697B0C">
        <w:rPr>
          <w:rFonts w:ascii="Calibri" w:eastAsia="Calibri" w:hAnsi="Calibri" w:cs="Calibri"/>
          <w:b/>
          <w:color w:val="000000"/>
          <w:sz w:val="20"/>
          <w:szCs w:val="20"/>
        </w:rPr>
        <w:t>nabídka, která bude mít nejnižší nabídkovou cenu</w:t>
      </w:r>
      <w:r w:rsidRPr="00697B0C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4A0FF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BA631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697B0C" w:rsidRPr="003E24D3" w:rsidRDefault="00697B0C" w:rsidP="00697B0C">
      <w:pPr>
        <w:pStyle w:val="Standard"/>
        <w:jc w:val="both"/>
        <w:rPr>
          <w:rFonts w:eastAsia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C240C7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CF474E" w:rsidRPr="00D8334C" w:rsidRDefault="00CF474E" w:rsidP="00560D67">
      <w:pPr>
        <w:pStyle w:val="Standard"/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D8334C">
        <w:rPr>
          <w:rFonts w:cs="Arial"/>
          <w:b/>
          <w:bCs/>
          <w:sz w:val="22"/>
          <w:szCs w:val="22"/>
        </w:rPr>
        <w:t xml:space="preserve">„Neotevírat – VZ č. </w:t>
      </w:r>
      <w:r w:rsidR="0059035F" w:rsidRPr="00D8334C">
        <w:rPr>
          <w:rFonts w:eastAsia="Arial" w:cs="Arial"/>
          <w:b/>
          <w:bCs/>
          <w:sz w:val="22"/>
          <w:szCs w:val="22"/>
        </w:rPr>
        <w:t>201</w:t>
      </w:r>
      <w:r w:rsidR="004A0FFB">
        <w:rPr>
          <w:rFonts w:eastAsia="Arial" w:cs="Arial"/>
          <w:b/>
          <w:bCs/>
          <w:sz w:val="22"/>
          <w:szCs w:val="22"/>
        </w:rPr>
        <w:t>8</w:t>
      </w:r>
      <w:r w:rsidR="00C240C7">
        <w:rPr>
          <w:rFonts w:eastAsia="Arial" w:cs="Arial"/>
          <w:b/>
          <w:bCs/>
          <w:sz w:val="22"/>
          <w:szCs w:val="22"/>
        </w:rPr>
        <w:t>00</w:t>
      </w:r>
      <w:r w:rsidR="004A0FFB">
        <w:rPr>
          <w:rFonts w:eastAsia="Arial" w:cs="Arial"/>
          <w:b/>
          <w:bCs/>
          <w:sz w:val="22"/>
          <w:szCs w:val="22"/>
        </w:rPr>
        <w:t>5</w:t>
      </w:r>
      <w:r w:rsidRPr="00D8334C">
        <w:rPr>
          <w:rFonts w:eastAsia="Arial" w:cs="Arial"/>
          <w:sz w:val="22"/>
          <w:szCs w:val="22"/>
        </w:rPr>
        <w:t xml:space="preserve"> </w:t>
      </w:r>
      <w:r w:rsidRPr="00D8334C">
        <w:rPr>
          <w:rFonts w:cs="Arial"/>
          <w:b/>
          <w:bCs/>
          <w:sz w:val="22"/>
          <w:szCs w:val="22"/>
        </w:rPr>
        <w:t>–</w:t>
      </w:r>
      <w:r w:rsidR="00C65509">
        <w:rPr>
          <w:rFonts w:cs="Arial"/>
          <w:b/>
          <w:bCs/>
          <w:sz w:val="22"/>
          <w:szCs w:val="22"/>
        </w:rPr>
        <w:t xml:space="preserve"> </w:t>
      </w:r>
      <w:r w:rsidR="00D46E8C">
        <w:rPr>
          <w:rFonts w:cs="Arial"/>
          <w:b/>
          <w:bCs/>
          <w:sz w:val="22"/>
          <w:szCs w:val="22"/>
        </w:rPr>
        <w:t>Vysoké nad Jizerou - n</w:t>
      </w:r>
      <w:r w:rsidR="004A0FFB">
        <w:rPr>
          <w:rFonts w:cs="Arial"/>
          <w:b/>
          <w:bCs/>
          <w:sz w:val="22"/>
          <w:szCs w:val="22"/>
        </w:rPr>
        <w:t>apojení nového vodního zdroje – vrtu</w:t>
      </w:r>
      <w:r w:rsidRPr="00D8334C">
        <w:rPr>
          <w:rFonts w:cs="Arial"/>
          <w:b/>
          <w:bCs/>
          <w:sz w:val="22"/>
          <w:szCs w:val="22"/>
        </w:rPr>
        <w:t>“</w:t>
      </w:r>
    </w:p>
    <w:p w:rsidR="00CF474E" w:rsidRDefault="00CF474E" w:rsidP="00560D67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Pr="00560D67" w:rsidRDefault="001B1534" w:rsidP="001B1534">
      <w:pPr>
        <w:pStyle w:val="Standard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4A0FFB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lastRenderedPageBreak/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C240C7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C240C7">
        <w:rPr>
          <w:rFonts w:eastAsia="Calibri" w:cs="Calibri"/>
          <w:b/>
          <w:bCs/>
          <w:szCs w:val="20"/>
        </w:rPr>
        <w:t> </w:t>
      </w:r>
      <w:r w:rsidR="00D46E8C">
        <w:rPr>
          <w:rFonts w:eastAsia="Calibri" w:cs="Calibri"/>
          <w:b/>
          <w:bCs/>
          <w:szCs w:val="20"/>
        </w:rPr>
        <w:t>pondělí</w:t>
      </w:r>
      <w:r w:rsidR="00C240C7">
        <w:rPr>
          <w:rFonts w:eastAsia="Calibri" w:cs="Calibri"/>
          <w:b/>
          <w:bCs/>
          <w:szCs w:val="20"/>
        </w:rPr>
        <w:t xml:space="preserve"> </w:t>
      </w:r>
      <w:r w:rsidR="00ED7F98">
        <w:rPr>
          <w:rFonts w:eastAsia="Calibri" w:cs="Calibri"/>
          <w:b/>
          <w:bCs/>
          <w:szCs w:val="20"/>
        </w:rPr>
        <w:t>1</w:t>
      </w:r>
      <w:r w:rsidR="006F0804">
        <w:rPr>
          <w:rFonts w:eastAsia="Calibri" w:cs="Calibri"/>
          <w:b/>
          <w:bCs/>
          <w:szCs w:val="20"/>
        </w:rPr>
        <w:t>5</w:t>
      </w:r>
      <w:r w:rsidR="00160862">
        <w:rPr>
          <w:rFonts w:eastAsia="Calibri" w:cs="Calibri"/>
          <w:b/>
          <w:bCs/>
          <w:szCs w:val="20"/>
        </w:rPr>
        <w:t xml:space="preserve">. </w:t>
      </w:r>
      <w:r w:rsidR="006F0804">
        <w:rPr>
          <w:rFonts w:eastAsia="Calibri" w:cs="Calibri"/>
          <w:b/>
          <w:bCs/>
          <w:szCs w:val="20"/>
        </w:rPr>
        <w:t>10</w:t>
      </w:r>
      <w:r w:rsidR="00ED7F98">
        <w:rPr>
          <w:rFonts w:eastAsia="Calibri" w:cs="Calibri"/>
          <w:b/>
          <w:bCs/>
          <w:szCs w:val="20"/>
        </w:rPr>
        <w:t>. 2018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ED7F98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C240C7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C240C7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bookmarkStart w:id="0" w:name="_GoBack"/>
      <w:bookmarkEnd w:id="0"/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CC07B2">
        <w:rPr>
          <w:noProof/>
          <w:lang w:eastAsia="cs-CZ" w:bidi="ar-SA"/>
        </w:rPr>
        <w:drawing>
          <wp:inline distT="0" distB="0" distL="0" distR="0">
            <wp:extent cx="1419225" cy="96202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0804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6F0804">
              <w:rPr>
                <w:szCs w:val="20"/>
              </w:rPr>
              <w:t>19. 9. 2018</w:t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6E371D">
          <w:headerReference w:type="default" r:id="rId11"/>
          <w:footerReference w:type="default" r:id="rId12"/>
          <w:pgSz w:w="11906" w:h="16838"/>
          <w:pgMar w:top="2552" w:right="1134" w:bottom="1701" w:left="1134" w:header="567" w:footer="567" w:gutter="0"/>
          <w:cols w:space="708"/>
        </w:sectPr>
      </w:pPr>
    </w:p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FB" w:rsidRDefault="004A0FFB">
      <w:r>
        <w:separator/>
      </w:r>
    </w:p>
  </w:endnote>
  <w:endnote w:type="continuationSeparator" w:id="0">
    <w:p w:rsidR="004A0FFB" w:rsidRDefault="004A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FB" w:rsidRDefault="006F0804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4A0FFB" w:rsidRDefault="004A0FFB">
    <w:pPr>
      <w:pStyle w:val="Standard"/>
      <w:jc w:val="center"/>
      <w:rPr>
        <w:rFonts w:cs="Arial"/>
        <w:sz w:val="12"/>
        <w:szCs w:val="12"/>
      </w:rPr>
    </w:pPr>
  </w:p>
  <w:p w:rsidR="004A0FFB" w:rsidRDefault="004A0FFB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4A0FFB" w:rsidRDefault="004A0FFB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4A0FFB" w:rsidRDefault="004A0FFB">
    <w:pPr>
      <w:pStyle w:val="Standard"/>
      <w:jc w:val="center"/>
    </w:pPr>
  </w:p>
  <w:p w:rsidR="004A0FFB" w:rsidRDefault="00C37734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4A0FFB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6F0804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4A0FFB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4A0FFB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6F0804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FB" w:rsidRDefault="004A0FFB">
      <w:r>
        <w:rPr>
          <w:color w:val="000000"/>
        </w:rPr>
        <w:separator/>
      </w:r>
    </w:p>
  </w:footnote>
  <w:footnote w:type="continuationSeparator" w:id="0">
    <w:p w:rsidR="004A0FFB" w:rsidRDefault="004A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4A0FFB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4A0FFB" w:rsidRDefault="004A0FFB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2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0FFB" w:rsidRDefault="004A0FFB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4A0FFB" w:rsidRDefault="004A0FFB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4A0FFB" w:rsidRDefault="004A0FFB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4A0FFB" w:rsidRDefault="004A0FFB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4A0FFB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4A0FFB" w:rsidRDefault="006F0804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4A0FFB" w:rsidRDefault="004A0FFB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A02E9E82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1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2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4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5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6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6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2"/>
  </w:num>
  <w:num w:numId="21">
    <w:abstractNumId w:val="10"/>
  </w:num>
  <w:num w:numId="22">
    <w:abstractNumId w:val="16"/>
  </w:num>
  <w:num w:numId="23">
    <w:abstractNumId w:val="13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460FA"/>
    <w:rsid w:val="000646CB"/>
    <w:rsid w:val="00064709"/>
    <w:rsid w:val="000867ED"/>
    <w:rsid w:val="000925B2"/>
    <w:rsid w:val="00094BD3"/>
    <w:rsid w:val="000A17CF"/>
    <w:rsid w:val="000A2F6B"/>
    <w:rsid w:val="000C7DE3"/>
    <w:rsid w:val="000D6E02"/>
    <w:rsid w:val="000E0CB9"/>
    <w:rsid w:val="000E1453"/>
    <w:rsid w:val="000F3D8E"/>
    <w:rsid w:val="000F6267"/>
    <w:rsid w:val="00110832"/>
    <w:rsid w:val="0011469D"/>
    <w:rsid w:val="001176FE"/>
    <w:rsid w:val="0014436B"/>
    <w:rsid w:val="00160862"/>
    <w:rsid w:val="001A0641"/>
    <w:rsid w:val="001A7593"/>
    <w:rsid w:val="001B1534"/>
    <w:rsid w:val="001B1923"/>
    <w:rsid w:val="001B669C"/>
    <w:rsid w:val="001C3BA5"/>
    <w:rsid w:val="001F123C"/>
    <w:rsid w:val="0020093B"/>
    <w:rsid w:val="00202896"/>
    <w:rsid w:val="002171CB"/>
    <w:rsid w:val="00237E1D"/>
    <w:rsid w:val="00242912"/>
    <w:rsid w:val="002454AB"/>
    <w:rsid w:val="002550C2"/>
    <w:rsid w:val="002A04E6"/>
    <w:rsid w:val="002B3A80"/>
    <w:rsid w:val="002B44A3"/>
    <w:rsid w:val="002C1B65"/>
    <w:rsid w:val="002D1228"/>
    <w:rsid w:val="002D6F68"/>
    <w:rsid w:val="002E1F5C"/>
    <w:rsid w:val="002E4618"/>
    <w:rsid w:val="0033092C"/>
    <w:rsid w:val="00340588"/>
    <w:rsid w:val="00350859"/>
    <w:rsid w:val="003962A8"/>
    <w:rsid w:val="003A1E77"/>
    <w:rsid w:val="003E24D3"/>
    <w:rsid w:val="004243BE"/>
    <w:rsid w:val="00433A60"/>
    <w:rsid w:val="004460F6"/>
    <w:rsid w:val="00450291"/>
    <w:rsid w:val="0046390B"/>
    <w:rsid w:val="00473B2D"/>
    <w:rsid w:val="004779CA"/>
    <w:rsid w:val="004921C7"/>
    <w:rsid w:val="00492EE3"/>
    <w:rsid w:val="004A0FFB"/>
    <w:rsid w:val="004A7FC8"/>
    <w:rsid w:val="004B1D26"/>
    <w:rsid w:val="004B3801"/>
    <w:rsid w:val="004C6614"/>
    <w:rsid w:val="004C6F86"/>
    <w:rsid w:val="004D2149"/>
    <w:rsid w:val="004E617A"/>
    <w:rsid w:val="004F3F76"/>
    <w:rsid w:val="005026B4"/>
    <w:rsid w:val="00503587"/>
    <w:rsid w:val="00503976"/>
    <w:rsid w:val="00506C0D"/>
    <w:rsid w:val="00520C03"/>
    <w:rsid w:val="00522FB1"/>
    <w:rsid w:val="00560D67"/>
    <w:rsid w:val="00563F06"/>
    <w:rsid w:val="00567C25"/>
    <w:rsid w:val="00577ED9"/>
    <w:rsid w:val="0059035F"/>
    <w:rsid w:val="00592237"/>
    <w:rsid w:val="0059345A"/>
    <w:rsid w:val="005A0317"/>
    <w:rsid w:val="005C609F"/>
    <w:rsid w:val="005C6BA3"/>
    <w:rsid w:val="005E1814"/>
    <w:rsid w:val="005E5329"/>
    <w:rsid w:val="005E5367"/>
    <w:rsid w:val="005F30C0"/>
    <w:rsid w:val="00626F80"/>
    <w:rsid w:val="006419A4"/>
    <w:rsid w:val="0065629C"/>
    <w:rsid w:val="006802FD"/>
    <w:rsid w:val="00680E81"/>
    <w:rsid w:val="00683A03"/>
    <w:rsid w:val="00697B0C"/>
    <w:rsid w:val="006A0DB2"/>
    <w:rsid w:val="006A6B75"/>
    <w:rsid w:val="006C0624"/>
    <w:rsid w:val="006E371D"/>
    <w:rsid w:val="006F0804"/>
    <w:rsid w:val="006F18CA"/>
    <w:rsid w:val="006F37DF"/>
    <w:rsid w:val="006F7BEA"/>
    <w:rsid w:val="00726E75"/>
    <w:rsid w:val="0073219C"/>
    <w:rsid w:val="00781E90"/>
    <w:rsid w:val="00786228"/>
    <w:rsid w:val="007A6261"/>
    <w:rsid w:val="007A6AAA"/>
    <w:rsid w:val="007B1C3F"/>
    <w:rsid w:val="007C5DEA"/>
    <w:rsid w:val="007F7332"/>
    <w:rsid w:val="0080140C"/>
    <w:rsid w:val="00807AE7"/>
    <w:rsid w:val="00813AD6"/>
    <w:rsid w:val="00815999"/>
    <w:rsid w:val="00885BA7"/>
    <w:rsid w:val="0089260D"/>
    <w:rsid w:val="00897E42"/>
    <w:rsid w:val="008C7474"/>
    <w:rsid w:val="008D1000"/>
    <w:rsid w:val="008D5AE0"/>
    <w:rsid w:val="008E11EB"/>
    <w:rsid w:val="008E3211"/>
    <w:rsid w:val="008F1443"/>
    <w:rsid w:val="008F31A0"/>
    <w:rsid w:val="00910D2B"/>
    <w:rsid w:val="0092110B"/>
    <w:rsid w:val="00933895"/>
    <w:rsid w:val="00953B00"/>
    <w:rsid w:val="00965A22"/>
    <w:rsid w:val="00996C30"/>
    <w:rsid w:val="009B7C6B"/>
    <w:rsid w:val="009D14CD"/>
    <w:rsid w:val="009D2598"/>
    <w:rsid w:val="009D5880"/>
    <w:rsid w:val="009E4AAC"/>
    <w:rsid w:val="00A22CAD"/>
    <w:rsid w:val="00A24E7D"/>
    <w:rsid w:val="00A373E0"/>
    <w:rsid w:val="00A517C3"/>
    <w:rsid w:val="00A76020"/>
    <w:rsid w:val="00AA2A6B"/>
    <w:rsid w:val="00AD1768"/>
    <w:rsid w:val="00AD50A8"/>
    <w:rsid w:val="00AD59E9"/>
    <w:rsid w:val="00AE0540"/>
    <w:rsid w:val="00AF5220"/>
    <w:rsid w:val="00B1286F"/>
    <w:rsid w:val="00B246E7"/>
    <w:rsid w:val="00B34F4B"/>
    <w:rsid w:val="00B52A13"/>
    <w:rsid w:val="00B57DCC"/>
    <w:rsid w:val="00B74FDC"/>
    <w:rsid w:val="00B774D3"/>
    <w:rsid w:val="00B77C4F"/>
    <w:rsid w:val="00B81463"/>
    <w:rsid w:val="00B84BFF"/>
    <w:rsid w:val="00B92D0A"/>
    <w:rsid w:val="00B951FA"/>
    <w:rsid w:val="00BA23C3"/>
    <w:rsid w:val="00BA6316"/>
    <w:rsid w:val="00BD3A13"/>
    <w:rsid w:val="00BD7F8C"/>
    <w:rsid w:val="00C1352C"/>
    <w:rsid w:val="00C240C7"/>
    <w:rsid w:val="00C37734"/>
    <w:rsid w:val="00C4384B"/>
    <w:rsid w:val="00C65509"/>
    <w:rsid w:val="00C67FE4"/>
    <w:rsid w:val="00C734BD"/>
    <w:rsid w:val="00C971CD"/>
    <w:rsid w:val="00CA548C"/>
    <w:rsid w:val="00CA5987"/>
    <w:rsid w:val="00CB0EE7"/>
    <w:rsid w:val="00CB287A"/>
    <w:rsid w:val="00CC07B2"/>
    <w:rsid w:val="00CC7B2E"/>
    <w:rsid w:val="00CD5413"/>
    <w:rsid w:val="00CE28CF"/>
    <w:rsid w:val="00CF31E3"/>
    <w:rsid w:val="00CF474E"/>
    <w:rsid w:val="00D04BF9"/>
    <w:rsid w:val="00D115E6"/>
    <w:rsid w:val="00D3671C"/>
    <w:rsid w:val="00D46E8C"/>
    <w:rsid w:val="00D50356"/>
    <w:rsid w:val="00D530BD"/>
    <w:rsid w:val="00D777CF"/>
    <w:rsid w:val="00D8334C"/>
    <w:rsid w:val="00D8650B"/>
    <w:rsid w:val="00DA1AE9"/>
    <w:rsid w:val="00DB747F"/>
    <w:rsid w:val="00DC7EEA"/>
    <w:rsid w:val="00DF2A9E"/>
    <w:rsid w:val="00E067E9"/>
    <w:rsid w:val="00E10F4B"/>
    <w:rsid w:val="00E161AB"/>
    <w:rsid w:val="00E21999"/>
    <w:rsid w:val="00E53A57"/>
    <w:rsid w:val="00E6561A"/>
    <w:rsid w:val="00E91038"/>
    <w:rsid w:val="00EA2432"/>
    <w:rsid w:val="00EA5A97"/>
    <w:rsid w:val="00EC3EA2"/>
    <w:rsid w:val="00ED5FA2"/>
    <w:rsid w:val="00ED7F98"/>
    <w:rsid w:val="00EE7BCF"/>
    <w:rsid w:val="00EF292A"/>
    <w:rsid w:val="00EF7CCD"/>
    <w:rsid w:val="00F1233B"/>
    <w:rsid w:val="00F20E42"/>
    <w:rsid w:val="00F32A8A"/>
    <w:rsid w:val="00F411B0"/>
    <w:rsid w:val="00F47CD4"/>
    <w:rsid w:val="00F5358E"/>
    <w:rsid w:val="00F54E80"/>
    <w:rsid w:val="00F6056E"/>
    <w:rsid w:val="00F61B01"/>
    <w:rsid w:val="00F629D2"/>
    <w:rsid w:val="00F70C82"/>
    <w:rsid w:val="00F77722"/>
    <w:rsid w:val="00FE19BF"/>
    <w:rsid w:val="00FE4F52"/>
    <w:rsid w:val="00FF032A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C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0CB9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E0C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0CB9"/>
    <w:pPr>
      <w:spacing w:after="120"/>
    </w:pPr>
  </w:style>
  <w:style w:type="paragraph" w:styleId="Seznam">
    <w:name w:val="List"/>
    <w:basedOn w:val="Textbody"/>
    <w:rsid w:val="000E0CB9"/>
  </w:style>
  <w:style w:type="paragraph" w:styleId="Titulek">
    <w:name w:val="caption"/>
    <w:basedOn w:val="Standard"/>
    <w:rsid w:val="000E0C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E0CB9"/>
    <w:pPr>
      <w:suppressLineNumbers/>
    </w:pPr>
  </w:style>
  <w:style w:type="paragraph" w:styleId="Zhlav">
    <w:name w:val="header"/>
    <w:basedOn w:val="Standard"/>
    <w:rsid w:val="000E0CB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E0CB9"/>
    <w:pPr>
      <w:suppressLineNumbers/>
    </w:pPr>
  </w:style>
  <w:style w:type="paragraph" w:styleId="Zpat">
    <w:name w:val="footer"/>
    <w:basedOn w:val="Standard"/>
    <w:rsid w:val="000E0CB9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E0CB9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E0CB9"/>
    <w:pPr>
      <w:jc w:val="center"/>
    </w:pPr>
    <w:rPr>
      <w:b/>
      <w:bCs/>
    </w:rPr>
  </w:style>
  <w:style w:type="character" w:customStyle="1" w:styleId="Internetlink">
    <w:name w:val="Internet link"/>
    <w:rsid w:val="000E0CB9"/>
    <w:rPr>
      <w:color w:val="000080"/>
      <w:u w:val="single"/>
    </w:rPr>
  </w:style>
  <w:style w:type="character" w:customStyle="1" w:styleId="NumberingSymbols">
    <w:name w:val="Numbering Symbols"/>
    <w:rsid w:val="000E0CB9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E0CB9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E0CB9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E0CB9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E0CB9"/>
  </w:style>
  <w:style w:type="character" w:customStyle="1" w:styleId="WW8Num1z2">
    <w:name w:val="WW8Num1z2"/>
    <w:rsid w:val="000E0CB9"/>
  </w:style>
  <w:style w:type="character" w:customStyle="1" w:styleId="WW8Num1z3">
    <w:name w:val="WW8Num1z3"/>
    <w:rsid w:val="000E0CB9"/>
  </w:style>
  <w:style w:type="character" w:customStyle="1" w:styleId="WW8Num1z4">
    <w:name w:val="WW8Num1z4"/>
    <w:rsid w:val="000E0CB9"/>
  </w:style>
  <w:style w:type="character" w:customStyle="1" w:styleId="WW8Num1z5">
    <w:name w:val="WW8Num1z5"/>
    <w:rsid w:val="000E0CB9"/>
  </w:style>
  <w:style w:type="character" w:customStyle="1" w:styleId="WW8Num1z6">
    <w:name w:val="WW8Num1z6"/>
    <w:rsid w:val="000E0CB9"/>
  </w:style>
  <w:style w:type="character" w:customStyle="1" w:styleId="WW8Num1z7">
    <w:name w:val="WW8Num1z7"/>
    <w:rsid w:val="000E0CB9"/>
  </w:style>
  <w:style w:type="character" w:customStyle="1" w:styleId="WW8Num1z8">
    <w:name w:val="WW8Num1z8"/>
    <w:rsid w:val="000E0CB9"/>
  </w:style>
  <w:style w:type="numbering" w:customStyle="1" w:styleId="WW8Num3">
    <w:name w:val="WW8Num3"/>
    <w:basedOn w:val="Bezseznamu"/>
    <w:rsid w:val="000E0CB9"/>
    <w:pPr>
      <w:numPr>
        <w:numId w:val="1"/>
      </w:numPr>
    </w:pPr>
  </w:style>
  <w:style w:type="numbering" w:customStyle="1" w:styleId="WW8Num4">
    <w:name w:val="WW8Num4"/>
    <w:basedOn w:val="Bezseznamu"/>
    <w:rsid w:val="000E0CB9"/>
    <w:pPr>
      <w:numPr>
        <w:numId w:val="2"/>
      </w:numPr>
    </w:pPr>
  </w:style>
  <w:style w:type="numbering" w:customStyle="1" w:styleId="WW8Num2">
    <w:name w:val="WW8Num2"/>
    <w:basedOn w:val="Bezseznamu"/>
    <w:rsid w:val="000E0CB9"/>
    <w:pPr>
      <w:numPr>
        <w:numId w:val="3"/>
      </w:numPr>
    </w:pPr>
  </w:style>
  <w:style w:type="numbering" w:customStyle="1" w:styleId="WW8Num1">
    <w:name w:val="WW8Num1"/>
    <w:basedOn w:val="Bezseznamu"/>
    <w:rsid w:val="000E0CB9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560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vysokenadjizero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uctarna2@vysokenadjizero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2222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15303</CharactersWithSpaces>
  <SharedDoc>false</SharedDoc>
  <HLinks>
    <vt:vector size="6" baseType="variant"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mailto:mistostarosta@vysokenadjizerou.cz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22</cp:revision>
  <cp:lastPrinted>2018-08-30T08:46:00Z</cp:lastPrinted>
  <dcterms:created xsi:type="dcterms:W3CDTF">2017-05-25T12:48:00Z</dcterms:created>
  <dcterms:modified xsi:type="dcterms:W3CDTF">2018-09-17T15:08:00Z</dcterms:modified>
</cp:coreProperties>
</file>