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982594" w:rsidP="002513D0">
      <w:pPr>
        <w:pStyle w:val="Standard"/>
        <w:spacing w:before="6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Oprava místních komunikací ve Vysokém nad Jizerou</w:t>
      </w:r>
      <w:r w:rsidR="00BF2711">
        <w:rPr>
          <w:rFonts w:cs="Arial"/>
          <w:b/>
          <w:bCs/>
          <w:sz w:val="26"/>
          <w:szCs w:val="26"/>
        </w:rPr>
        <w:t xml:space="preserve"> II</w:t>
      </w:r>
      <w:r w:rsidR="00C5260F">
        <w:rPr>
          <w:rFonts w:cs="Arial"/>
          <w:b/>
          <w:bCs/>
          <w:sz w:val="26"/>
          <w:szCs w:val="26"/>
        </w:rPr>
        <w:t>I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C5260F">
        <w:rPr>
          <w:rFonts w:eastAsia="Calibri-Bold" w:cs="Calibri-Bold"/>
          <w:b/>
          <w:bCs/>
          <w:sz w:val="26"/>
          <w:szCs w:val="26"/>
        </w:rPr>
        <w:t>9</w:t>
      </w:r>
      <w:r>
        <w:rPr>
          <w:rFonts w:eastAsia="Calibri-Bold" w:cs="Calibri-Bold"/>
          <w:b/>
          <w:bCs/>
          <w:sz w:val="26"/>
          <w:szCs w:val="26"/>
        </w:rPr>
        <w:t>00</w:t>
      </w:r>
      <w:r w:rsidR="00B95408">
        <w:rPr>
          <w:rFonts w:eastAsia="Calibri-Bold" w:cs="Calibri-Bold"/>
          <w:b/>
          <w:bCs/>
          <w:sz w:val="26"/>
          <w:szCs w:val="26"/>
        </w:rPr>
        <w:t>1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B95408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B95408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B95408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BF2711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Pr="00DB2B10" w:rsidRDefault="00996C30" w:rsidP="00996C30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EB7788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>Ing. Jaroslav Necha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nický, tel.: 481 593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="00EB7788"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EB7788" w:rsidRPr="00EB7788" w:rsidRDefault="00EB7788" w:rsidP="00996C30">
      <w:pPr>
        <w:pStyle w:val="Standard"/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Ing. Tereza Fenclová, tel.: 481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312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170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606 821 788</w:t>
      </w:r>
    </w:p>
    <w:p w:rsidR="00EB7788" w:rsidRDefault="00EB7788" w:rsidP="00EB7788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uctarna2@vysokenadjizerou.cz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96C30" w:rsidRDefault="00996C30" w:rsidP="00996C30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982594">
        <w:rPr>
          <w:rFonts w:cs="Arial"/>
          <w:b/>
          <w:bCs/>
          <w:szCs w:val="20"/>
        </w:rPr>
        <w:t>Oprava místních komunikací ve Vysokém nad Jizerou</w:t>
      </w:r>
      <w:r>
        <w:rPr>
          <w:rFonts w:cs="Arial"/>
          <w:b/>
          <w:bCs/>
          <w:szCs w:val="20"/>
        </w:rPr>
        <w:t xml:space="preserve"> </w:t>
      </w:r>
      <w:r w:rsidR="00BF2711">
        <w:rPr>
          <w:rFonts w:cs="Arial"/>
          <w:b/>
          <w:bCs/>
          <w:szCs w:val="20"/>
        </w:rPr>
        <w:t>II</w:t>
      </w:r>
      <w:r w:rsidR="00C5260F">
        <w:rPr>
          <w:rFonts w:cs="Arial"/>
          <w:b/>
          <w:bCs/>
          <w:szCs w:val="20"/>
        </w:rPr>
        <w:t>I</w:t>
      </w:r>
    </w:p>
    <w:p w:rsidR="00695103" w:rsidRPr="002A33DE" w:rsidRDefault="00695103" w:rsidP="00695103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7878AF">
        <w:rPr>
          <w:rFonts w:eastAsia="Calibri" w:cs="Arial"/>
          <w:b/>
          <w:bCs/>
          <w:szCs w:val="20"/>
        </w:rPr>
        <w:t>Předmět</w:t>
      </w:r>
      <w:r>
        <w:rPr>
          <w:rFonts w:eastAsia="Calibri" w:cs="Arial"/>
          <w:b/>
          <w:bCs/>
          <w:szCs w:val="20"/>
        </w:rPr>
        <w:t>em</w:t>
      </w:r>
      <w:r w:rsidRPr="007878AF">
        <w:rPr>
          <w:rFonts w:eastAsia="Calibri" w:cs="Arial"/>
          <w:b/>
          <w:bCs/>
          <w:szCs w:val="20"/>
        </w:rPr>
        <w:t xml:space="preserve"> zakázky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>je o</w:t>
      </w:r>
      <w:r w:rsidRPr="007878AF">
        <w:rPr>
          <w:rFonts w:eastAsia="Calibri" w:cs="Arial"/>
          <w:bCs/>
          <w:szCs w:val="20"/>
        </w:rPr>
        <w:t>prava místních komunikací ve Vysokém nad Jizerou</w:t>
      </w:r>
      <w:r>
        <w:rPr>
          <w:rFonts w:eastAsia="Calibri" w:cs="Arial"/>
          <w:bCs/>
          <w:szCs w:val="20"/>
        </w:rPr>
        <w:t>, která</w:t>
      </w:r>
      <w:r w:rsidRPr="007878AF">
        <w:rPr>
          <w:rFonts w:eastAsia="Calibri" w:cs="Arial"/>
          <w:bCs/>
          <w:szCs w:val="20"/>
        </w:rPr>
        <w:t xml:space="preserve"> bude probíhat na několika úsecích </w:t>
      </w:r>
      <w:r w:rsidRPr="002A33DE">
        <w:rPr>
          <w:rFonts w:eastAsia="Calibri" w:cs="Arial"/>
          <w:b/>
          <w:bCs/>
          <w:szCs w:val="20"/>
        </w:rPr>
        <w:t xml:space="preserve">v celkové délce 2 177 m </w:t>
      </w:r>
      <w:r w:rsidRPr="002A33DE">
        <w:rPr>
          <w:rFonts w:eastAsia="Calibri" w:cs="Arial"/>
          <w:bCs/>
          <w:szCs w:val="20"/>
        </w:rPr>
        <w:t>a proměnlivé</w:t>
      </w:r>
      <w:r w:rsidRPr="002A33DE">
        <w:rPr>
          <w:rFonts w:eastAsia="Calibri" w:cs="Arial"/>
          <w:b/>
          <w:bCs/>
          <w:szCs w:val="20"/>
        </w:rPr>
        <w:t xml:space="preserve"> šířce 2,9 </w:t>
      </w:r>
      <w:r w:rsidRPr="002A33DE">
        <w:rPr>
          <w:rFonts w:eastAsia="Calibri" w:cs="Arial"/>
          <w:bCs/>
          <w:szCs w:val="20"/>
        </w:rPr>
        <w:t>až</w:t>
      </w:r>
      <w:r w:rsidRPr="002A33DE">
        <w:rPr>
          <w:rFonts w:eastAsia="Calibri" w:cs="Arial"/>
          <w:b/>
          <w:bCs/>
          <w:szCs w:val="20"/>
        </w:rPr>
        <w:t xml:space="preserve"> 5,0 m</w:t>
      </w:r>
      <w:r w:rsidRPr="002A33DE">
        <w:rPr>
          <w:rFonts w:eastAsia="Calibri" w:cs="Arial"/>
          <w:bCs/>
          <w:szCs w:val="20"/>
        </w:rPr>
        <w:t>, tedy na</w:t>
      </w:r>
      <w:r w:rsidRPr="002A33DE">
        <w:rPr>
          <w:rFonts w:eastAsia="Calibri" w:cs="Arial"/>
          <w:b/>
          <w:bCs/>
          <w:szCs w:val="20"/>
        </w:rPr>
        <w:t xml:space="preserve"> cca </w:t>
      </w:r>
      <w:r w:rsidR="00C62BA2">
        <w:rPr>
          <w:rFonts w:eastAsia="Calibri" w:cs="Arial"/>
          <w:b/>
          <w:bCs/>
          <w:szCs w:val="20"/>
        </w:rPr>
        <w:t>9 450</w:t>
      </w:r>
      <w:r w:rsidRPr="002A33DE">
        <w:rPr>
          <w:rFonts w:eastAsia="Calibri" w:cs="Arial"/>
          <w:b/>
          <w:bCs/>
          <w:szCs w:val="20"/>
        </w:rPr>
        <w:t xml:space="preserve"> m</w:t>
      </w:r>
      <w:r w:rsidRPr="002A33DE">
        <w:rPr>
          <w:rFonts w:eastAsia="Calibri" w:cs="Arial"/>
          <w:b/>
          <w:bCs/>
          <w:szCs w:val="20"/>
          <w:vertAlign w:val="superscript"/>
        </w:rPr>
        <w:t>2</w:t>
      </w:r>
      <w:r w:rsidRPr="002A33DE">
        <w:rPr>
          <w:rFonts w:eastAsia="Calibri" w:cs="Arial"/>
          <w:bCs/>
          <w:szCs w:val="20"/>
        </w:rPr>
        <w:t xml:space="preserve">. Konkrétně se jedná o tyto úseky:   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„A1“ – od náměstí k VÚRV (včetně přilehlých prostor)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115 m</w:t>
      </w:r>
      <w:r>
        <w:rPr>
          <w:rFonts w:eastAsia="Calibri" w:cs="Arial"/>
          <w:bCs/>
          <w:szCs w:val="20"/>
        </w:rPr>
        <w:tab/>
        <w:t>š: 3,5 – 3,8 m</w:t>
      </w:r>
      <w:r>
        <w:rPr>
          <w:rFonts w:eastAsia="Calibri" w:cs="Arial"/>
          <w:bCs/>
          <w:szCs w:val="20"/>
        </w:rPr>
        <w:tab/>
        <w:t>1 066 m</w:t>
      </w:r>
      <w:r w:rsidRPr="003C29E5">
        <w:rPr>
          <w:rFonts w:eastAsia="Calibri" w:cs="Arial"/>
          <w:bCs/>
          <w:szCs w:val="20"/>
          <w:vertAlign w:val="superscript"/>
        </w:rPr>
        <w:t>2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„A2“ – ulice Staroveská a Františka </w:t>
      </w:r>
      <w:proofErr w:type="spellStart"/>
      <w:r>
        <w:rPr>
          <w:rFonts w:eastAsia="Calibri" w:cs="Arial"/>
          <w:bCs/>
          <w:szCs w:val="20"/>
        </w:rPr>
        <w:t>Vodseďálka</w:t>
      </w:r>
      <w:proofErr w:type="spellEnd"/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803 m</w:t>
      </w:r>
      <w:r>
        <w:rPr>
          <w:rFonts w:eastAsia="Calibri" w:cs="Arial"/>
          <w:bCs/>
          <w:szCs w:val="20"/>
        </w:rPr>
        <w:tab/>
        <w:t>š: 2,9 – 3,6 m</w:t>
      </w:r>
      <w:r>
        <w:rPr>
          <w:rFonts w:eastAsia="Calibri" w:cs="Arial"/>
          <w:bCs/>
          <w:szCs w:val="20"/>
        </w:rPr>
        <w:tab/>
        <w:t>2 900 m</w:t>
      </w:r>
      <w:r w:rsidRPr="0089162A">
        <w:rPr>
          <w:rFonts w:eastAsia="Calibri" w:cs="Arial"/>
          <w:bCs/>
          <w:szCs w:val="20"/>
          <w:vertAlign w:val="superscript"/>
        </w:rPr>
        <w:t>2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„A3“ – ulice od Staroveské k č. p. 214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260 m</w:t>
      </w:r>
      <w:r>
        <w:rPr>
          <w:rFonts w:eastAsia="Calibri" w:cs="Arial"/>
          <w:bCs/>
          <w:szCs w:val="20"/>
        </w:rPr>
        <w:tab/>
        <w:t>š: 2,8 – 3,0 m</w:t>
      </w:r>
      <w:r>
        <w:rPr>
          <w:rFonts w:eastAsia="Calibri" w:cs="Arial"/>
          <w:bCs/>
          <w:szCs w:val="20"/>
        </w:rPr>
        <w:tab/>
        <w:t>764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695103" w:rsidRPr="002A33DE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 w:rsidRPr="002A33DE">
        <w:rPr>
          <w:rFonts w:eastAsia="Calibri" w:cs="Arial"/>
          <w:bCs/>
          <w:szCs w:val="20"/>
        </w:rPr>
        <w:t>úsek „A</w:t>
      </w:r>
      <w:r>
        <w:rPr>
          <w:rFonts w:eastAsia="Calibri" w:cs="Arial"/>
          <w:bCs/>
          <w:szCs w:val="20"/>
        </w:rPr>
        <w:t>4</w:t>
      </w:r>
      <w:r w:rsidRPr="002A33DE">
        <w:rPr>
          <w:rFonts w:eastAsia="Calibri" w:cs="Arial"/>
          <w:bCs/>
          <w:szCs w:val="20"/>
        </w:rPr>
        <w:t>“ – ulice Sluneční (oprava komunikace po havárii vodovodu)</w:t>
      </w:r>
      <w:r w:rsidRPr="002A33DE"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 xml:space="preserve">d: </w:t>
      </w:r>
      <w:r w:rsidRPr="002A33DE">
        <w:rPr>
          <w:rFonts w:eastAsia="Calibri" w:cs="Arial"/>
          <w:bCs/>
          <w:szCs w:val="20"/>
        </w:rPr>
        <w:t>3,80 m</w:t>
      </w:r>
      <w:r w:rsidRPr="002A33DE">
        <w:rPr>
          <w:rFonts w:eastAsia="Calibri" w:cs="Arial"/>
          <w:bCs/>
          <w:szCs w:val="20"/>
        </w:rPr>
        <w:tab/>
        <w:t>š: 3,3 m</w:t>
      </w:r>
      <w:r w:rsidRPr="002A33DE">
        <w:rPr>
          <w:rFonts w:eastAsia="Calibri" w:cs="Arial"/>
          <w:bCs/>
          <w:szCs w:val="20"/>
        </w:rPr>
        <w:tab/>
      </w:r>
      <w:r w:rsidRPr="002A33DE">
        <w:rPr>
          <w:rFonts w:eastAsia="Calibri" w:cs="Arial"/>
          <w:bCs/>
          <w:szCs w:val="20"/>
        </w:rPr>
        <w:tab/>
        <w:t>13 m</w:t>
      </w:r>
      <w:r w:rsidRPr="002A33DE">
        <w:rPr>
          <w:rFonts w:eastAsia="Calibri" w:cs="Arial"/>
          <w:bCs/>
          <w:szCs w:val="20"/>
          <w:vertAlign w:val="superscript"/>
        </w:rPr>
        <w:t>2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 w:rsidRPr="006F65C8">
        <w:rPr>
          <w:rFonts w:eastAsia="Calibri" w:cs="Arial"/>
          <w:bCs/>
          <w:szCs w:val="20"/>
        </w:rPr>
        <w:t>úsek „B1“</w:t>
      </w:r>
      <w:r>
        <w:rPr>
          <w:rFonts w:eastAsia="Calibri" w:cs="Arial"/>
          <w:bCs/>
          <w:szCs w:val="20"/>
        </w:rPr>
        <w:t xml:space="preserve"> – Stará Ves – od hlavní silnice nad č. p. 102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250 m</w:t>
      </w:r>
      <w:r>
        <w:rPr>
          <w:rFonts w:eastAsia="Calibri" w:cs="Arial"/>
          <w:bCs/>
          <w:szCs w:val="20"/>
        </w:rPr>
        <w:tab/>
        <w:t>š: Ø 2,9 m</w:t>
      </w:r>
      <w:r>
        <w:rPr>
          <w:rFonts w:eastAsia="Calibri" w:cs="Arial"/>
          <w:bCs/>
          <w:szCs w:val="20"/>
        </w:rPr>
        <w:tab/>
        <w:t>725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„B2“ – Pasecké rovně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295 m</w:t>
      </w:r>
      <w:r>
        <w:rPr>
          <w:rFonts w:eastAsia="Calibri" w:cs="Arial"/>
          <w:bCs/>
          <w:szCs w:val="20"/>
        </w:rPr>
        <w:tab/>
        <w:t>š: Ø 3,25 m</w:t>
      </w:r>
      <w:r>
        <w:rPr>
          <w:rFonts w:eastAsia="Calibri" w:cs="Arial"/>
          <w:bCs/>
          <w:szCs w:val="20"/>
        </w:rPr>
        <w:tab/>
        <w:t>1007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695103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„B3“ – </w:t>
      </w:r>
      <w:proofErr w:type="spellStart"/>
      <w:r>
        <w:rPr>
          <w:rFonts w:eastAsia="Calibri" w:cs="Arial"/>
          <w:bCs/>
          <w:szCs w:val="20"/>
        </w:rPr>
        <w:t>Tříč</w:t>
      </w:r>
      <w:proofErr w:type="spellEnd"/>
      <w:r>
        <w:rPr>
          <w:rFonts w:eastAsia="Calibri" w:cs="Arial"/>
          <w:bCs/>
          <w:szCs w:val="20"/>
        </w:rPr>
        <w:t xml:space="preserve"> – </w:t>
      </w:r>
      <w:proofErr w:type="spellStart"/>
      <w:r>
        <w:rPr>
          <w:rFonts w:eastAsia="Calibri" w:cs="Arial"/>
          <w:bCs/>
          <w:szCs w:val="20"/>
        </w:rPr>
        <w:t>Housovi</w:t>
      </w:r>
      <w:proofErr w:type="spellEnd"/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145 m</w:t>
      </w:r>
      <w:r>
        <w:rPr>
          <w:rFonts w:eastAsia="Calibri" w:cs="Arial"/>
          <w:bCs/>
          <w:szCs w:val="20"/>
        </w:rPr>
        <w:tab/>
        <w:t>š: 3,0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435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695103" w:rsidRPr="006F65C8" w:rsidRDefault="00695103" w:rsidP="00695103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úsek „B4“ – </w:t>
      </w:r>
      <w:proofErr w:type="spellStart"/>
      <w:r>
        <w:rPr>
          <w:rFonts w:eastAsia="Calibri" w:cs="Arial"/>
          <w:bCs/>
          <w:szCs w:val="20"/>
        </w:rPr>
        <w:t>Tříč</w:t>
      </w:r>
      <w:proofErr w:type="spellEnd"/>
      <w:r>
        <w:rPr>
          <w:rFonts w:eastAsia="Calibri" w:cs="Arial"/>
          <w:bCs/>
          <w:szCs w:val="20"/>
        </w:rPr>
        <w:t xml:space="preserve"> – ke kravínu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565 m</w:t>
      </w:r>
      <w:r>
        <w:rPr>
          <w:rFonts w:eastAsia="Calibri" w:cs="Arial"/>
          <w:bCs/>
          <w:szCs w:val="20"/>
        </w:rPr>
        <w:tab/>
        <w:t>š: 3,3 – 5,0 m</w:t>
      </w:r>
      <w:r>
        <w:rPr>
          <w:rFonts w:eastAsia="Calibri" w:cs="Arial"/>
          <w:bCs/>
          <w:szCs w:val="20"/>
        </w:rPr>
        <w:tab/>
        <w:t>2540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695103" w:rsidRPr="00A43440" w:rsidRDefault="00695103" w:rsidP="00695103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Oprava místních komunikací </w:t>
      </w:r>
      <w:r w:rsidRPr="0021245F">
        <w:rPr>
          <w:rFonts w:eastAsia="Calibri" w:cs="Arial"/>
          <w:bCs/>
          <w:szCs w:val="20"/>
        </w:rPr>
        <w:t>na</w:t>
      </w:r>
      <w:r w:rsidRPr="0021245F"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 xml:space="preserve">úseku A1 </w:t>
      </w:r>
      <w:r>
        <w:rPr>
          <w:rFonts w:eastAsia="Calibri" w:cs="Arial"/>
          <w:bCs/>
          <w:szCs w:val="20"/>
        </w:rPr>
        <w:t>zahrnuje vytvoření podkladních vrstev pod komunikací, prostorem před hasičskou zbrojnicí a bývalým objektem VÚRV o celkové výměře 1 066 m</w:t>
      </w:r>
      <w:r w:rsidRPr="00593BB0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. V části o výměře 696 m</w:t>
      </w:r>
      <w:r w:rsidRPr="004E0382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budou vytvořeny podkladní vrstvy komunikace, tzn., odtěžit části stávající komunikace o mocnosti 300 mm, položit podkladní vrstvu ze štěrku frakce 0 - 63 mm v tloušťce 200 mm a dorovnat komunikaci asfaltovým recyklátem v tloušťce 100 mm. V části bude provedena silniční obruba a poté položena ložní asfaltová vrstva z ABH I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50 mm a vrchní vrstva z ACO 11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40 mm. V části o výměře 370 m</w:t>
      </w:r>
      <w:r w:rsidRPr="00CE7833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 bude odtěžen stávající povrch, následně bude vytvořena podkladní vrstva odstavné plochy před VÚRV o mocnosti 400 mm, položeny podkladní vrstvy štěrku různých frakcí od 0 – 63 mm po dorovnání frakcí 4 – 8 mm a následně položena</w:t>
      </w:r>
      <w:r w:rsidRPr="0089162A">
        <w:rPr>
          <w:rFonts w:eastAsia="Calibri" w:cs="Arial"/>
          <w:bCs/>
          <w:szCs w:val="20"/>
        </w:rPr>
        <w:t xml:space="preserve"> vegetační dlažba (</w:t>
      </w:r>
      <w:r>
        <w:rPr>
          <w:rFonts w:eastAsia="Calibri" w:cs="Arial"/>
          <w:bCs/>
          <w:szCs w:val="20"/>
        </w:rPr>
        <w:t>170 x 240 mm, v. 8</w:t>
      </w:r>
      <w:r w:rsidRPr="0089162A">
        <w:rPr>
          <w:rFonts w:eastAsia="Calibri" w:cs="Arial"/>
          <w:bCs/>
          <w:szCs w:val="20"/>
        </w:rPr>
        <w:t>0 mm).</w:t>
      </w:r>
      <w:r>
        <w:rPr>
          <w:rFonts w:eastAsia="Calibri" w:cs="Arial"/>
          <w:bCs/>
          <w:szCs w:val="20"/>
        </w:rPr>
        <w:t xml:space="preserve"> Na tomto úseku je třeba po celou dobu provádění prací počítat s výjezdem vozidel SDH. </w:t>
      </w:r>
      <w:r w:rsidRPr="0089162A">
        <w:rPr>
          <w:rFonts w:eastAsia="Calibri" w:cs="Arial"/>
          <w:b/>
          <w:bCs/>
          <w:szCs w:val="20"/>
        </w:rPr>
        <w:t>Úsek A</w:t>
      </w:r>
      <w:r>
        <w:rPr>
          <w:rFonts w:eastAsia="Calibri" w:cs="Arial"/>
          <w:b/>
          <w:bCs/>
          <w:szCs w:val="20"/>
        </w:rPr>
        <w:t>2</w:t>
      </w:r>
      <w:r w:rsidRPr="0089162A">
        <w:rPr>
          <w:rFonts w:eastAsia="Calibri" w:cs="Arial"/>
          <w:bCs/>
          <w:szCs w:val="20"/>
        </w:rPr>
        <w:t xml:space="preserve"> zahrnuje </w:t>
      </w:r>
      <w:r>
        <w:rPr>
          <w:rFonts w:eastAsia="Calibri" w:cs="Arial"/>
          <w:bCs/>
          <w:szCs w:val="20"/>
        </w:rPr>
        <w:t>odstranění zásypu výkopu po rekonstrukci vodovodního řadu do hloubky 60 – 80 mm, pokládku ložní asfaltové vrstvy, tzv. „</w:t>
      </w:r>
      <w:proofErr w:type="spellStart"/>
      <w:r>
        <w:rPr>
          <w:rFonts w:eastAsia="Calibri" w:cs="Arial"/>
          <w:bCs/>
          <w:szCs w:val="20"/>
        </w:rPr>
        <w:t>podbalení</w:t>
      </w:r>
      <w:proofErr w:type="spellEnd"/>
      <w:r>
        <w:rPr>
          <w:rFonts w:eastAsia="Calibri" w:cs="Arial"/>
          <w:bCs/>
          <w:szCs w:val="20"/>
        </w:rPr>
        <w:t>“ z ACL 16S (22S) v tloušťce 60 mm a v části vybudování silniční obruby. Zbývající povrch komunikace nenarušený výkopem bude očištěn a dále bude proveden spojovací asfaltový postřik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 vyrovnání stávajícího povrchu srovnávací vrstvou z ACO 8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 xml:space="preserve">. 20 – 30 mm a pokládka vrchní asfaltové vrstvy z ACO 11 v tloušťce 60 mm. Na </w:t>
      </w:r>
      <w:r>
        <w:rPr>
          <w:rFonts w:eastAsia="Calibri" w:cs="Arial"/>
          <w:b/>
          <w:bCs/>
          <w:szCs w:val="20"/>
        </w:rPr>
        <w:t>ús</w:t>
      </w:r>
      <w:r w:rsidRPr="00FF1D30">
        <w:rPr>
          <w:rFonts w:eastAsia="Calibri" w:cs="Arial"/>
          <w:b/>
          <w:bCs/>
          <w:szCs w:val="20"/>
        </w:rPr>
        <w:t>ek</w:t>
      </w:r>
      <w:r>
        <w:rPr>
          <w:rFonts w:eastAsia="Calibri" w:cs="Arial"/>
          <w:b/>
          <w:bCs/>
          <w:szCs w:val="20"/>
        </w:rPr>
        <w:t>u</w:t>
      </w:r>
      <w:r w:rsidRPr="00FF1D30">
        <w:rPr>
          <w:rFonts w:eastAsia="Calibri" w:cs="Arial"/>
          <w:b/>
          <w:bCs/>
          <w:szCs w:val="20"/>
        </w:rPr>
        <w:t xml:space="preserve"> A3</w:t>
      </w:r>
      <w:r>
        <w:rPr>
          <w:rFonts w:eastAsia="Calibri" w:cs="Arial"/>
          <w:bCs/>
          <w:szCs w:val="20"/>
        </w:rPr>
        <w:t xml:space="preserve"> bude v</w:t>
      </w:r>
      <w:r w:rsidRPr="00A43440">
        <w:rPr>
          <w:rFonts w:eastAsia="Calibri" w:cs="Arial"/>
          <w:bCs/>
          <w:szCs w:val="20"/>
        </w:rPr>
        <w:t>ytvořena podkladní vrstva komunikace, tzn., odtěžena stávající komunikace o mocnosti 300 mm, položena podkladní vrstva ze štěrku frakce 0 - 6</w:t>
      </w:r>
      <w:r>
        <w:rPr>
          <w:rFonts w:eastAsia="Calibri" w:cs="Arial"/>
          <w:bCs/>
          <w:szCs w:val="20"/>
        </w:rPr>
        <w:t>3 mm v tloušťce 200 mm a </w:t>
      </w:r>
      <w:r w:rsidRPr="00A43440">
        <w:rPr>
          <w:rFonts w:eastAsia="Calibri" w:cs="Arial"/>
          <w:bCs/>
          <w:szCs w:val="20"/>
        </w:rPr>
        <w:t xml:space="preserve">dorovnána komunikace asfaltovým recyklátem v tloušťce 100 mm. Dále bude proveden postřik spojovací asfaltovou emulzí </w:t>
      </w:r>
      <w:r w:rsidRPr="00A43440">
        <w:rPr>
          <w:rFonts w:eastAsia="Calibri" w:cs="Arial"/>
          <w:bCs/>
          <w:szCs w:val="20"/>
        </w:rPr>
        <w:lastRenderedPageBreak/>
        <w:t>v množství do 0,6 kg/m</w:t>
      </w:r>
      <w:r w:rsidRPr="00A43440">
        <w:rPr>
          <w:rFonts w:eastAsia="Calibri" w:cs="Arial"/>
          <w:bCs/>
          <w:szCs w:val="20"/>
          <w:vertAlign w:val="superscript"/>
        </w:rPr>
        <w:t>2</w:t>
      </w:r>
      <w:r w:rsidRPr="00A43440">
        <w:rPr>
          <w:rFonts w:eastAsia="Calibri" w:cs="Arial"/>
          <w:bCs/>
          <w:szCs w:val="20"/>
        </w:rPr>
        <w:t xml:space="preserve"> a položena</w:t>
      </w:r>
      <w:r>
        <w:rPr>
          <w:rFonts w:eastAsia="Calibri" w:cs="Arial"/>
          <w:bCs/>
          <w:szCs w:val="20"/>
        </w:rPr>
        <w:t xml:space="preserve"> podkladní asfaltová vrstva z ACO 8 v tloušťce 20 – 30 mm a </w:t>
      </w:r>
      <w:r w:rsidRPr="00A43440">
        <w:rPr>
          <w:rFonts w:eastAsia="Calibri" w:cs="Arial"/>
          <w:bCs/>
          <w:szCs w:val="20"/>
        </w:rPr>
        <w:t xml:space="preserve">vrchní asfaltová vrstva z ACO 11 v tloušťce </w:t>
      </w:r>
      <w:r>
        <w:rPr>
          <w:rFonts w:eastAsia="Calibri" w:cs="Arial"/>
          <w:bCs/>
          <w:szCs w:val="20"/>
        </w:rPr>
        <w:t>5</w:t>
      </w:r>
      <w:r w:rsidRPr="00A43440">
        <w:rPr>
          <w:rFonts w:eastAsia="Calibri" w:cs="Arial"/>
          <w:bCs/>
          <w:szCs w:val="20"/>
        </w:rPr>
        <w:t>0 mm.</w:t>
      </w:r>
      <w:r>
        <w:rPr>
          <w:rFonts w:eastAsia="Calibri" w:cs="Arial"/>
          <w:bCs/>
          <w:szCs w:val="20"/>
        </w:rPr>
        <w:t xml:space="preserve"> Na tomto úseku bude provedeno lokální odvodnění podpovrchové vody. Na </w:t>
      </w:r>
      <w:r w:rsidRPr="00E9159A">
        <w:rPr>
          <w:rFonts w:eastAsia="Calibri" w:cs="Arial"/>
          <w:b/>
          <w:bCs/>
          <w:szCs w:val="20"/>
        </w:rPr>
        <w:t>ús</w:t>
      </w:r>
      <w:r>
        <w:rPr>
          <w:rFonts w:eastAsia="Calibri" w:cs="Arial"/>
          <w:b/>
          <w:bCs/>
          <w:szCs w:val="20"/>
        </w:rPr>
        <w:t xml:space="preserve">eku A4 </w:t>
      </w:r>
      <w:r>
        <w:rPr>
          <w:rFonts w:eastAsia="Calibri" w:cs="Arial"/>
          <w:bCs/>
          <w:szCs w:val="20"/>
        </w:rPr>
        <w:t xml:space="preserve">proběhne oprava části komunikace, jejíž poškození </w:t>
      </w:r>
      <w:r w:rsidRPr="00A43440">
        <w:rPr>
          <w:rFonts w:eastAsia="Calibri" w:cs="Arial"/>
          <w:bCs/>
          <w:szCs w:val="20"/>
        </w:rPr>
        <w:t xml:space="preserve">bylo způsobeno havárií na vodovodním řadu. Bude zde zaříznuta </w:t>
      </w:r>
      <w:r>
        <w:rPr>
          <w:rFonts w:eastAsia="Calibri" w:cs="Arial"/>
          <w:bCs/>
          <w:szCs w:val="20"/>
        </w:rPr>
        <w:t>stávající komunikace a </w:t>
      </w:r>
      <w:r w:rsidRPr="00A43440">
        <w:rPr>
          <w:rFonts w:eastAsia="Calibri" w:cs="Arial"/>
          <w:bCs/>
          <w:szCs w:val="20"/>
        </w:rPr>
        <w:t>stejně jako na úseku A1 odstraněn zásyp výkopu do hloubky 60 – 80 mm a položena ložní asfaltová vrstva z ACL 16S (22S) v tloušťce 60 mm. Zbývající povrch komunikace nenarušený výkopem bude očištěn a dále bude proveden spojovací asfaltový postřik v množství do 0,6 kg/m</w:t>
      </w:r>
      <w:r w:rsidRPr="00A43440">
        <w:rPr>
          <w:rFonts w:eastAsia="Calibri" w:cs="Arial"/>
          <w:bCs/>
          <w:szCs w:val="20"/>
          <w:vertAlign w:val="superscript"/>
        </w:rPr>
        <w:t>2</w:t>
      </w:r>
      <w:r w:rsidRPr="00A43440">
        <w:rPr>
          <w:rFonts w:eastAsia="Calibri" w:cs="Arial"/>
          <w:bCs/>
          <w:szCs w:val="20"/>
        </w:rPr>
        <w:t>, pokládka vrchní asfaltové vrstvy z ACO 11 v tloušťce 60 mm a budou ošetřeny spáry asfaltovou zálivkou.</w:t>
      </w:r>
    </w:p>
    <w:p w:rsidR="00695103" w:rsidRPr="00A43440" w:rsidRDefault="00695103" w:rsidP="00695103">
      <w:pPr>
        <w:pStyle w:val="Standard"/>
        <w:ind w:firstLine="284"/>
        <w:jc w:val="both"/>
        <w:rPr>
          <w:rFonts w:eastAsia="Calibri" w:cs="Arial"/>
          <w:b/>
          <w:bCs/>
          <w:smallCaps/>
          <w:color w:val="FF0000"/>
          <w:spacing w:val="20"/>
          <w:szCs w:val="20"/>
        </w:rPr>
      </w:pPr>
      <w:r w:rsidRPr="00A43440">
        <w:rPr>
          <w:rFonts w:eastAsia="Calibri" w:cs="Arial"/>
          <w:b/>
          <w:bCs/>
          <w:smallCaps/>
          <w:color w:val="FF0000"/>
          <w:spacing w:val="20"/>
          <w:szCs w:val="20"/>
        </w:rPr>
        <w:t>Oprava na úsecích B1 – B4 bude probíhat podle výše nabídkové ceny dodavatele akce</w:t>
      </w:r>
      <w:r>
        <w:rPr>
          <w:rFonts w:eastAsia="Calibri" w:cs="Arial"/>
          <w:b/>
          <w:bCs/>
          <w:smallCaps/>
          <w:color w:val="FF0000"/>
          <w:spacing w:val="20"/>
          <w:szCs w:val="20"/>
        </w:rPr>
        <w:t xml:space="preserve"> a podle finančních možností investora</w:t>
      </w:r>
      <w:r w:rsidRPr="00A43440">
        <w:rPr>
          <w:rFonts w:eastAsia="Calibri" w:cs="Arial"/>
          <w:b/>
          <w:bCs/>
          <w:smallCaps/>
          <w:color w:val="FF0000"/>
          <w:spacing w:val="20"/>
          <w:szCs w:val="20"/>
        </w:rPr>
        <w:t xml:space="preserve">. </w:t>
      </w:r>
    </w:p>
    <w:p w:rsidR="00695103" w:rsidRPr="002A33DE" w:rsidRDefault="00695103" w:rsidP="00695103">
      <w:pPr>
        <w:pStyle w:val="Standard"/>
        <w:ind w:firstLine="284"/>
        <w:jc w:val="both"/>
        <w:rPr>
          <w:rFonts w:eastAsia="Calibri" w:cs="Arial"/>
          <w:bCs/>
          <w:color w:val="FF0000"/>
          <w:szCs w:val="20"/>
        </w:rPr>
      </w:pPr>
      <w:r w:rsidRPr="00A43440">
        <w:rPr>
          <w:rFonts w:eastAsia="Calibri" w:cs="Arial"/>
          <w:bCs/>
          <w:szCs w:val="20"/>
        </w:rPr>
        <w:t>Na úseku</w:t>
      </w:r>
      <w:r w:rsidRPr="00A43440">
        <w:rPr>
          <w:rFonts w:eastAsia="Calibri" w:cs="Arial"/>
          <w:b/>
          <w:bCs/>
          <w:szCs w:val="20"/>
        </w:rPr>
        <w:t xml:space="preserve"> B1 </w:t>
      </w:r>
      <w:r w:rsidRPr="00A43440">
        <w:rPr>
          <w:rFonts w:eastAsia="Calibri" w:cs="Arial"/>
          <w:bCs/>
          <w:szCs w:val="20"/>
        </w:rPr>
        <w:t>bude částečně</w:t>
      </w:r>
      <w:r>
        <w:rPr>
          <w:rFonts w:eastAsia="Calibri" w:cs="Arial"/>
          <w:bCs/>
          <w:color w:val="FF0000"/>
          <w:szCs w:val="20"/>
        </w:rPr>
        <w:t xml:space="preserve"> </w:t>
      </w:r>
      <w:r w:rsidRPr="00A43440">
        <w:rPr>
          <w:rFonts w:eastAsia="Calibri" w:cs="Arial"/>
          <w:bCs/>
          <w:szCs w:val="20"/>
        </w:rPr>
        <w:t>vytvořena podkladní vrstva komunikace, tzn., odtěžena stávající komunikace o mocnosti 300 mm, položena podkladní vrstva ze štěrku frakce 0 - 63 mm v tloušťce 200 mm a dorovnána komunikace asfaltovým recyklátem v tloušťce 100 mm. Zbývající povrch komunikace vyžaduje očištění a položení podkladní vrstvy ze štěrku frakce 0 – 63 mm. Dále bude proveden postřik spojovací asfaltovou emulzí v množství do 0,6 kg/m</w:t>
      </w:r>
      <w:r w:rsidRPr="00A43440">
        <w:rPr>
          <w:rFonts w:eastAsia="Calibri" w:cs="Arial"/>
          <w:bCs/>
          <w:szCs w:val="20"/>
          <w:vertAlign w:val="superscript"/>
        </w:rPr>
        <w:t>2</w:t>
      </w:r>
      <w:r w:rsidRPr="00A43440">
        <w:rPr>
          <w:rFonts w:eastAsia="Calibri" w:cs="Arial"/>
          <w:bCs/>
          <w:szCs w:val="20"/>
        </w:rPr>
        <w:t xml:space="preserve"> a položena vrchní asfaltová vrstva z ACO 11 v tloušťce 60 mm. Na </w:t>
      </w:r>
      <w:r w:rsidRPr="00E5304E">
        <w:rPr>
          <w:rFonts w:eastAsia="Calibri" w:cs="Arial"/>
          <w:b/>
          <w:bCs/>
          <w:szCs w:val="20"/>
        </w:rPr>
        <w:t>úsecích B2, B3 a B4</w:t>
      </w:r>
      <w:r>
        <w:rPr>
          <w:rFonts w:eastAsia="Calibri" w:cs="Arial"/>
          <w:bCs/>
          <w:szCs w:val="20"/>
        </w:rPr>
        <w:t xml:space="preserve"> bude provedeno očištění stávajícího krytu komunikací, spojovací asfaltový postřik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>, vyrovnání stávajících povrchů srovnávací vrstvou z ACO 8 v </w:t>
      </w:r>
      <w:proofErr w:type="spellStart"/>
      <w:r>
        <w:rPr>
          <w:rFonts w:eastAsia="Calibri" w:cs="Arial"/>
          <w:bCs/>
          <w:szCs w:val="20"/>
        </w:rPr>
        <w:t>tl</w:t>
      </w:r>
      <w:proofErr w:type="spellEnd"/>
      <w:r>
        <w:rPr>
          <w:rFonts w:eastAsia="Calibri" w:cs="Arial"/>
          <w:bCs/>
          <w:szCs w:val="20"/>
        </w:rPr>
        <w:t>. 20 – 30 mm a pokládka vrchní asfaltové vrstvy z ACO 11 v tloušťce 50 mm (na úseku B4 v tloušťce 60 mm).</w:t>
      </w:r>
    </w:p>
    <w:p w:rsidR="00695103" w:rsidRPr="00FC6C8E" w:rsidRDefault="00695103" w:rsidP="00695103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Oprava všech výše uvedených úseků komunikací bude zároveň zahrnovat úpravy nájezdů buď ve stejné skladbě jako výše uvedené komunikace nebo pouze </w:t>
      </w:r>
      <w:proofErr w:type="spellStart"/>
      <w:r>
        <w:rPr>
          <w:rFonts w:eastAsia="Calibri" w:cs="Arial"/>
          <w:bCs/>
          <w:szCs w:val="20"/>
        </w:rPr>
        <w:t>dosypem</w:t>
      </w:r>
      <w:proofErr w:type="spellEnd"/>
      <w:r>
        <w:rPr>
          <w:rFonts w:eastAsia="Calibri" w:cs="Arial"/>
          <w:bCs/>
          <w:szCs w:val="20"/>
        </w:rPr>
        <w:t xml:space="preserve"> asfaltovým recyklátem, lokální zpevnění krajnic, odvodnění komunikací osazením svodnic a výškovou úpravu poklopů kanalizačních šachet a znaků inženýrských sítí – kanalizace, vodovodu a plynu. </w:t>
      </w: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</w:t>
      </w: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maximální ohleduplnosti a omezení hlučnosti. V rámci oprav dojde k omezení či úplnému zastavení provozu na výše uvedených úsecích místní komunikace. Staveniště budou řádně zabezpečena proti vstupu nepovolaným osobám, všechny překážky budou označeny, v průběhu stavebních prací bude na komunikacích osazeno dočasné dopravní značení. Před započetím prací bude tento záměr ohlášen všem složkám IZS. Celý průběh bude dokumentován a následně z něj bude pořízena závěrečná zpráva. Veškeré stavební práce budou provedeny dle „Všeobecných standardů staveb“.</w:t>
      </w:r>
    </w:p>
    <w:p w:rsidR="001B1534" w:rsidRDefault="001B1534" w:rsidP="00C5260F">
      <w:pPr>
        <w:pStyle w:val="Standard"/>
        <w:spacing w:before="60" w:after="6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993F6A" w:rsidRDefault="001B1534" w:rsidP="00C5260F">
      <w:pPr>
        <w:pStyle w:val="Standard"/>
        <w:autoSpaceDE w:val="0"/>
        <w:spacing w:before="60" w:after="6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C5260F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DB2B10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993F6A">
        <w:rPr>
          <w:rFonts w:eastAsia="Calibri" w:cs="Arial"/>
          <w:szCs w:val="20"/>
        </w:rPr>
        <w:t xml:space="preserve">, </w:t>
      </w:r>
      <w:r w:rsidR="002513D0">
        <w:rPr>
          <w:rFonts w:eastAsia="Calibri" w:cs="Arial"/>
          <w:szCs w:val="20"/>
        </w:rPr>
        <w:t xml:space="preserve">Stará Ves, </w:t>
      </w:r>
      <w:proofErr w:type="spellStart"/>
      <w:r w:rsidR="002513D0">
        <w:rPr>
          <w:rFonts w:eastAsia="Calibri" w:cs="Arial"/>
          <w:szCs w:val="20"/>
        </w:rPr>
        <w:t>Tříč</w:t>
      </w:r>
      <w:proofErr w:type="spellEnd"/>
      <w:r w:rsidR="00C5260F">
        <w:rPr>
          <w:rFonts w:eastAsia="Calibri" w:cs="Arial"/>
          <w:szCs w:val="20"/>
        </w:rPr>
        <w:t>.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Pr="00EB7788" w:rsidRDefault="001B1534" w:rsidP="00DB2B10">
      <w:pPr>
        <w:pStyle w:val="Standard"/>
        <w:spacing w:after="120"/>
        <w:jc w:val="both"/>
        <w:rPr>
          <w:b/>
        </w:rPr>
      </w:pPr>
      <w:r>
        <w:t>Rozsah prací je uveden v</w:t>
      </w:r>
      <w:r w:rsidR="004C6F86">
        <w:t xml:space="preserve">e </w:t>
      </w:r>
      <w:r w:rsidR="00EB7788">
        <w:t>výkaz</w:t>
      </w:r>
      <w:r w:rsidR="005F0908">
        <w:t>u</w:t>
      </w:r>
      <w:r>
        <w:rPr>
          <w:rFonts w:eastAsia="Calibri" w:cs="Calibri"/>
          <w:color w:val="000000"/>
          <w:szCs w:val="20"/>
        </w:rPr>
        <w:t xml:space="preserve"> výměr</w:t>
      </w:r>
      <w:r w:rsidR="005F0908">
        <w:rPr>
          <w:rFonts w:eastAsia="Calibri" w:cs="Calibri"/>
          <w:color w:val="000000"/>
          <w:szCs w:val="20"/>
        </w:rPr>
        <w:t>.</w:t>
      </w:r>
      <w:r w:rsidR="00EB7788">
        <w:rPr>
          <w:rFonts w:eastAsia="Calibri" w:cs="Calibri"/>
          <w:b/>
          <w:color w:val="00000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C7474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993F6A" w:rsidRDefault="00A62212" w:rsidP="00993F6A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="00CA548C">
        <w:rPr>
          <w:rFonts w:eastAsia="Calibri" w:cs="Arial"/>
          <w:szCs w:val="20"/>
        </w:rPr>
        <w:t>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>
        <w:rPr>
          <w:rFonts w:eastAsia="Calibri" w:cs="Arial"/>
          <w:szCs w:val="20"/>
        </w:rPr>
        <w:t xml:space="preserve"> o dílo s vybraným zhotovitelem, </w:t>
      </w:r>
      <w:r w:rsidR="00993F6A">
        <w:rPr>
          <w:rFonts w:eastAsia="Calibri" w:cs="Arial"/>
          <w:szCs w:val="20"/>
        </w:rPr>
        <w:t>předpokládá se od </w:t>
      </w:r>
      <w:r w:rsidRPr="00993F6A">
        <w:rPr>
          <w:rFonts w:eastAsia="Calibri" w:cs="Arial"/>
          <w:b/>
          <w:szCs w:val="20"/>
        </w:rPr>
        <w:t>1</w:t>
      </w:r>
      <w:r w:rsidR="00FD14D2">
        <w:rPr>
          <w:rFonts w:eastAsia="Calibri" w:cs="Arial"/>
          <w:b/>
          <w:szCs w:val="20"/>
        </w:rPr>
        <w:t>5</w:t>
      </w:r>
      <w:r w:rsidR="00993F6A" w:rsidRPr="00993F6A">
        <w:rPr>
          <w:rFonts w:eastAsia="Calibri" w:cs="Arial"/>
          <w:b/>
          <w:szCs w:val="20"/>
        </w:rPr>
        <w:t>. </w:t>
      </w:r>
      <w:r w:rsidR="00AF5AE4">
        <w:rPr>
          <w:rFonts w:eastAsia="Calibri" w:cs="Arial"/>
          <w:b/>
          <w:szCs w:val="20"/>
        </w:rPr>
        <w:t>červ</w:t>
      </w:r>
      <w:r w:rsidR="00C5260F">
        <w:rPr>
          <w:rFonts w:eastAsia="Calibri" w:cs="Arial"/>
          <w:b/>
          <w:szCs w:val="20"/>
        </w:rPr>
        <w:t>e</w:t>
      </w:r>
      <w:r w:rsidR="00AF5AE4">
        <w:rPr>
          <w:rFonts w:eastAsia="Calibri" w:cs="Arial"/>
          <w:b/>
          <w:szCs w:val="20"/>
        </w:rPr>
        <w:t>n</w:t>
      </w:r>
      <w:r w:rsidR="00C5260F">
        <w:rPr>
          <w:rFonts w:eastAsia="Calibri" w:cs="Arial"/>
          <w:b/>
          <w:szCs w:val="20"/>
        </w:rPr>
        <w:t>ce</w:t>
      </w:r>
      <w:r w:rsidR="005F0908" w:rsidRPr="00993F6A">
        <w:rPr>
          <w:rFonts w:eastAsia="Calibri" w:cs="Arial"/>
          <w:b/>
          <w:szCs w:val="20"/>
        </w:rPr>
        <w:t xml:space="preserve"> </w:t>
      </w:r>
      <w:r w:rsidRPr="00993F6A">
        <w:rPr>
          <w:rFonts w:eastAsia="Calibri" w:cs="Arial"/>
          <w:b/>
          <w:szCs w:val="20"/>
        </w:rPr>
        <w:t>201</w:t>
      </w:r>
      <w:r w:rsidR="00C5260F">
        <w:rPr>
          <w:rFonts w:eastAsia="Calibri" w:cs="Arial"/>
          <w:b/>
          <w:szCs w:val="20"/>
        </w:rPr>
        <w:t>9</w:t>
      </w:r>
      <w:r w:rsidRPr="00993F6A">
        <w:rPr>
          <w:rFonts w:eastAsia="Calibri" w:cs="Arial"/>
          <w:szCs w:val="20"/>
        </w:rPr>
        <w:t>,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FD14D2">
        <w:rPr>
          <w:rFonts w:eastAsia="Calibri" w:cs="Arial"/>
          <w:b/>
          <w:szCs w:val="20"/>
        </w:rPr>
        <w:t>3</w:t>
      </w:r>
      <w:r w:rsidR="001626BA">
        <w:rPr>
          <w:rFonts w:eastAsia="Calibri" w:cs="Arial"/>
          <w:b/>
          <w:szCs w:val="20"/>
        </w:rPr>
        <w:t>1</w:t>
      </w:r>
      <w:bookmarkStart w:id="0" w:name="_GoBack"/>
      <w:bookmarkEnd w:id="0"/>
      <w:r w:rsidR="007C5DEA" w:rsidRPr="004243BE">
        <w:rPr>
          <w:rFonts w:eastAsia="Calibri" w:cs="Arial"/>
          <w:b/>
          <w:szCs w:val="20"/>
        </w:rPr>
        <w:t xml:space="preserve">. </w:t>
      </w:r>
      <w:r w:rsidR="00AF5AE4">
        <w:rPr>
          <w:rFonts w:eastAsia="Calibri" w:cs="Arial"/>
          <w:b/>
          <w:szCs w:val="20"/>
        </w:rPr>
        <w:t>října</w:t>
      </w:r>
      <w:r w:rsidR="007C5DEA" w:rsidRPr="004243BE">
        <w:rPr>
          <w:rFonts w:eastAsia="Calibri" w:cs="Arial"/>
          <w:b/>
          <w:szCs w:val="20"/>
        </w:rPr>
        <w:t xml:space="preserve"> </w:t>
      </w:r>
      <w:r w:rsidR="006F18CA" w:rsidRPr="004243BE">
        <w:rPr>
          <w:rFonts w:eastAsia="Calibri" w:cs="Arial"/>
          <w:b/>
          <w:szCs w:val="20"/>
        </w:rPr>
        <w:t>201</w:t>
      </w:r>
      <w:r w:rsidR="00C5260F">
        <w:rPr>
          <w:rFonts w:eastAsia="Calibri" w:cs="Arial"/>
          <w:b/>
          <w:szCs w:val="20"/>
        </w:rPr>
        <w:t>9</w:t>
      </w:r>
      <w:r w:rsidR="00A62212">
        <w:rPr>
          <w:rFonts w:eastAsia="Calibri" w:cs="Arial"/>
          <w:szCs w:val="20"/>
        </w:rPr>
        <w:t>,</w:t>
      </w:r>
    </w:p>
    <w:p w:rsidR="00503976" w:rsidRPr="00A62212" w:rsidRDefault="00A62212" w:rsidP="00993F6A">
      <w:pPr>
        <w:pStyle w:val="Standard"/>
        <w:numPr>
          <w:ilvl w:val="0"/>
          <w:numId w:val="19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="00503976"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</w:t>
      </w:r>
      <w:r w:rsidR="00E92C84">
        <w:rPr>
          <w:rFonts w:eastAsia="Calibri" w:cs="Calibri"/>
          <w:color w:val="000000"/>
          <w:szCs w:val="20"/>
        </w:rPr>
        <w:t xml:space="preserve">v CZK </w:t>
      </w:r>
      <w:r>
        <w:rPr>
          <w:rFonts w:eastAsia="Calibri" w:cs="Calibri"/>
          <w:color w:val="000000"/>
          <w:szCs w:val="20"/>
        </w:rPr>
        <w:t>za celé plnění veřejné zakázky</w:t>
      </w:r>
      <w:r w:rsidR="00A62212">
        <w:rPr>
          <w:rFonts w:eastAsia="Calibri" w:cs="Calibri"/>
          <w:color w:val="000000"/>
          <w:szCs w:val="20"/>
        </w:rPr>
        <w:t>. Nabídkov</w:t>
      </w:r>
      <w:r w:rsidR="005F0908">
        <w:rPr>
          <w:rFonts w:eastAsia="Calibri" w:cs="Calibri"/>
          <w:color w:val="000000"/>
          <w:szCs w:val="20"/>
        </w:rPr>
        <w:t>á cena</w:t>
      </w:r>
      <w:r w:rsidR="00A62212">
        <w:rPr>
          <w:rFonts w:eastAsia="Calibri" w:cs="Calibri"/>
          <w:color w:val="000000"/>
          <w:szCs w:val="20"/>
        </w:rPr>
        <w:t xml:space="preserve"> bud</w:t>
      </w:r>
      <w:r w:rsidR="005F0908">
        <w:rPr>
          <w:rFonts w:eastAsia="Calibri" w:cs="Calibri"/>
          <w:color w:val="000000"/>
          <w:szCs w:val="20"/>
        </w:rPr>
        <w:t>e</w:t>
      </w:r>
      <w:r w:rsidR="00A62212">
        <w:rPr>
          <w:rFonts w:eastAsia="Calibri" w:cs="Calibri"/>
          <w:color w:val="000000"/>
          <w:szCs w:val="20"/>
        </w:rPr>
        <w:t xml:space="preserve"> zpracován</w:t>
      </w:r>
      <w:r w:rsidR="005F0908">
        <w:rPr>
          <w:rFonts w:eastAsia="Calibri" w:cs="Calibri"/>
          <w:color w:val="000000"/>
          <w:szCs w:val="20"/>
        </w:rPr>
        <w:t>a</w:t>
      </w:r>
      <w:r>
        <w:rPr>
          <w:rFonts w:eastAsia="Calibri" w:cs="Calibri"/>
          <w:color w:val="000000"/>
          <w:szCs w:val="20"/>
        </w:rPr>
        <w:t xml:space="preserve"> v souladu s položkovým rozpočt</w:t>
      </w:r>
      <w:r w:rsidR="005F0908">
        <w:rPr>
          <w:rFonts w:eastAsia="Calibri" w:cs="Calibri"/>
          <w:color w:val="000000"/>
          <w:szCs w:val="20"/>
        </w:rPr>
        <w:t>em jednotlivých úseků komunikací</w:t>
      </w:r>
      <w:r w:rsidR="00044400">
        <w:rPr>
          <w:rFonts w:eastAsia="Calibri" w:cs="Calibri"/>
          <w:color w:val="000000"/>
          <w:szCs w:val="20"/>
        </w:rPr>
        <w:t xml:space="preserve"> (úseků A i B)</w:t>
      </w:r>
      <w:r w:rsidR="00A62212">
        <w:rPr>
          <w:rFonts w:eastAsia="Calibri" w:cs="Calibri"/>
          <w:color w:val="000000"/>
          <w:szCs w:val="20"/>
        </w:rPr>
        <w:t>,</w:t>
      </w:r>
      <w:r>
        <w:rPr>
          <w:rFonts w:eastAsia="Calibri" w:cs="Calibri"/>
          <w:color w:val="000000"/>
          <w:szCs w:val="20"/>
        </w:rPr>
        <w:t xml:space="preserve"> kter</w:t>
      </w:r>
      <w:r w:rsidR="005F0908">
        <w:rPr>
          <w:rFonts w:eastAsia="Calibri" w:cs="Calibri"/>
          <w:color w:val="000000"/>
          <w:szCs w:val="20"/>
        </w:rPr>
        <w:t>ý</w:t>
      </w:r>
      <w:r w:rsidR="00A62212">
        <w:rPr>
          <w:rFonts w:eastAsia="Calibri" w:cs="Calibri"/>
          <w:color w:val="000000"/>
          <w:szCs w:val="20"/>
        </w:rPr>
        <w:t xml:space="preserve"> j</w:t>
      </w:r>
      <w:r w:rsidR="005F0908">
        <w:rPr>
          <w:rFonts w:eastAsia="Calibri" w:cs="Calibri"/>
          <w:color w:val="000000"/>
          <w:szCs w:val="20"/>
        </w:rPr>
        <w:t>e</w:t>
      </w:r>
      <w:r>
        <w:rPr>
          <w:rFonts w:eastAsia="Calibri" w:cs="Calibri"/>
          <w:color w:val="000000"/>
          <w:szCs w:val="20"/>
        </w:rPr>
        <w:t xml:space="preserve">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</w:t>
      </w:r>
      <w:r w:rsidR="00993F6A">
        <w:rPr>
          <w:rFonts w:eastAsia="Calibri" w:cs="Calibri"/>
          <w:b/>
          <w:color w:val="000000"/>
          <w:szCs w:val="20"/>
        </w:rPr>
        <w:t>ého</w:t>
      </w:r>
      <w:r w:rsidR="002A45FA">
        <w:rPr>
          <w:rFonts w:eastAsia="Calibri" w:cs="Calibri"/>
          <w:b/>
          <w:color w:val="000000"/>
          <w:szCs w:val="20"/>
        </w:rPr>
        <w:t xml:space="preserve"> rozpočt</w:t>
      </w:r>
      <w:r w:rsidR="00993F6A">
        <w:rPr>
          <w:rFonts w:eastAsia="Calibri" w:cs="Calibri"/>
          <w:b/>
          <w:color w:val="000000"/>
          <w:szCs w:val="20"/>
        </w:rPr>
        <w:t>u</w:t>
      </w:r>
      <w:r>
        <w:rPr>
          <w:rFonts w:eastAsia="Calibri" w:cs="Calibri"/>
          <w:b/>
          <w:color w:val="000000"/>
          <w:szCs w:val="20"/>
        </w:rPr>
        <w:t xml:space="preserve">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FA54BF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Celkov</w:t>
      </w:r>
      <w:r w:rsidR="005F0908">
        <w:rPr>
          <w:rFonts w:eastAsia="Calibri" w:cs="Calibri"/>
          <w:color w:val="000000"/>
          <w:szCs w:val="20"/>
        </w:rPr>
        <w:t xml:space="preserve">ou </w:t>
      </w:r>
      <w:r w:rsidR="001B1534">
        <w:rPr>
          <w:rFonts w:eastAsia="Calibri" w:cs="Calibri"/>
          <w:color w:val="000000"/>
          <w:szCs w:val="20"/>
        </w:rPr>
        <w:t>nabídkov</w:t>
      </w:r>
      <w:r w:rsidR="005F0908">
        <w:rPr>
          <w:rFonts w:eastAsia="Calibri" w:cs="Calibri"/>
          <w:color w:val="000000"/>
          <w:szCs w:val="20"/>
        </w:rPr>
        <w:t>ou</w:t>
      </w:r>
      <w:r>
        <w:rPr>
          <w:rFonts w:eastAsia="Calibri" w:cs="Calibri"/>
          <w:color w:val="000000"/>
          <w:szCs w:val="20"/>
        </w:rPr>
        <w:t xml:space="preserve"> cen</w:t>
      </w:r>
      <w:r w:rsidR="005F0908">
        <w:rPr>
          <w:rFonts w:eastAsia="Calibri" w:cs="Calibri"/>
          <w:color w:val="000000"/>
          <w:szCs w:val="20"/>
        </w:rPr>
        <w:t xml:space="preserve">u </w:t>
      </w:r>
      <w:r w:rsidR="004C6F86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 xml:space="preserve"> ve formátu </w:t>
      </w:r>
      <w:r w:rsidR="00982594">
        <w:rPr>
          <w:rFonts w:eastAsia="Calibri" w:cs="Calibri"/>
          <w:color w:val="000000"/>
          <w:szCs w:val="20"/>
        </w:rPr>
        <w:t>XLS</w:t>
      </w:r>
      <w:r w:rsidR="001B1534">
        <w:rPr>
          <w:rFonts w:eastAsia="Calibri" w:cs="Calibri"/>
          <w:color w:val="000000"/>
          <w:szCs w:val="20"/>
        </w:rPr>
        <w:t xml:space="preserve"> (003_Kryci_list_vzor.xls), který j</w:t>
      </w:r>
      <w:r>
        <w:rPr>
          <w:rFonts w:eastAsia="Calibri" w:cs="Calibri"/>
          <w:color w:val="000000"/>
          <w:szCs w:val="20"/>
        </w:rPr>
        <w:t>e součástí zadávací dokumentace</w:t>
      </w:r>
      <w:r w:rsidR="005F0908">
        <w:rPr>
          <w:rFonts w:eastAsia="Calibri" w:cs="Calibri"/>
          <w:color w:val="000000"/>
          <w:szCs w:val="20"/>
        </w:rPr>
        <w:t>.</w:t>
      </w:r>
      <w:r w:rsidR="00D93850">
        <w:rPr>
          <w:rFonts w:eastAsia="Calibri" w:cs="Calibri"/>
          <w:color w:val="000000"/>
          <w:szCs w:val="20"/>
        </w:rPr>
        <w:t xml:space="preserve"> </w:t>
      </w:r>
      <w:r w:rsidR="00D93850"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="00D93850" w:rsidRPr="00DB2B10">
        <w:rPr>
          <w:rFonts w:eastAsia="Calibri" w:cs="Times New Roman"/>
          <w:b/>
          <w:szCs w:val="20"/>
        </w:rPr>
        <w:t xml:space="preserve">je </w:t>
      </w:r>
      <w:r w:rsidR="008962B5">
        <w:rPr>
          <w:rFonts w:eastAsia="Calibri" w:cs="Times New Roman"/>
          <w:b/>
          <w:szCs w:val="20"/>
        </w:rPr>
        <w:t>5</w:t>
      </w:r>
      <w:r w:rsidR="00993F6A" w:rsidRPr="00DB2B10">
        <w:rPr>
          <w:rFonts w:eastAsia="Calibri" w:cs="Times New Roman"/>
          <w:b/>
          <w:szCs w:val="20"/>
        </w:rPr>
        <w:t>.</w:t>
      </w:r>
      <w:r w:rsidR="008962B5">
        <w:rPr>
          <w:rFonts w:eastAsia="Calibri" w:cs="Times New Roman"/>
          <w:b/>
          <w:szCs w:val="20"/>
        </w:rPr>
        <w:t>4</w:t>
      </w:r>
      <w:r w:rsidR="00DB2B10" w:rsidRPr="00DB2B10">
        <w:rPr>
          <w:rFonts w:eastAsia="Calibri" w:cs="Times New Roman"/>
          <w:b/>
          <w:szCs w:val="20"/>
        </w:rPr>
        <w:t>00</w:t>
      </w:r>
      <w:r w:rsidR="00D93850" w:rsidRPr="00DB2B10">
        <w:rPr>
          <w:rFonts w:eastAsia="Calibri" w:cs="Times New Roman"/>
          <w:b/>
          <w:szCs w:val="20"/>
        </w:rPr>
        <w:t>.000 Kč</w:t>
      </w:r>
      <w:r w:rsidR="00993F6A">
        <w:rPr>
          <w:rFonts w:eastAsia="Calibri" w:cs="Times New Roman"/>
          <w:b/>
          <w:color w:val="000000"/>
          <w:szCs w:val="20"/>
        </w:rPr>
        <w:t xml:space="preserve"> bez DPH</w:t>
      </w:r>
      <w:r w:rsidR="00D93850" w:rsidRPr="00512D5F">
        <w:rPr>
          <w:rFonts w:eastAsia="Calibri" w:cs="Times New Roman"/>
          <w:b/>
          <w:color w:val="000000"/>
          <w:szCs w:val="20"/>
        </w:rPr>
        <w:t>.</w:t>
      </w:r>
      <w:r w:rsidR="005F0908">
        <w:rPr>
          <w:rFonts w:eastAsia="Calibri" w:cs="Calibri"/>
          <w:color w:val="000000"/>
          <w:szCs w:val="20"/>
        </w:rPr>
        <w:t xml:space="preserve"> </w:t>
      </w:r>
    </w:p>
    <w:p w:rsidR="001B1534" w:rsidRPr="00D93850" w:rsidRDefault="00D93850" w:rsidP="00993F6A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p w:rsidR="00044400" w:rsidRDefault="000444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F6267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993F6A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34CC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1B1534" w:rsidRDefault="001B1534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Pr="002A45FA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</w:t>
      </w:r>
      <w:r w:rsidR="007C728C">
        <w:rPr>
          <w:rFonts w:eastAsia="ArialMT, 'Times New Roman'" w:cs="Arial"/>
          <w:szCs w:val="20"/>
        </w:rPr>
        <w:t>ho listu</w:t>
      </w:r>
      <w:r>
        <w:rPr>
          <w:rFonts w:eastAsia="ArialMT, 'Times New Roman'" w:cs="Arial"/>
          <w:szCs w:val="20"/>
        </w:rPr>
        <w:t xml:space="preserve"> nabídky uchazeč závazně použije vzor, který je součástí zadávací dokumentace (003</w:t>
      </w:r>
      <w:r w:rsidR="002A45FA">
        <w:rPr>
          <w:rFonts w:eastAsia="ArialMT, 'Times New Roman'" w:cs="Arial"/>
          <w:szCs w:val="20"/>
        </w:rPr>
        <w:t>_Kryci_list_vzor.xls). Na krycí</w:t>
      </w:r>
      <w:r w:rsidR="007C728C">
        <w:rPr>
          <w:rFonts w:eastAsia="ArialMT, 'Times New Roman'" w:cs="Arial"/>
          <w:szCs w:val="20"/>
        </w:rPr>
        <w:t xml:space="preserve">m </w:t>
      </w:r>
      <w:r w:rsidR="002A45FA">
        <w:rPr>
          <w:rFonts w:eastAsia="ArialMT, 'Times New Roman'" w:cs="Arial"/>
          <w:szCs w:val="20"/>
        </w:rPr>
        <w:t>list</w:t>
      </w:r>
      <w:r w:rsidR="007C728C">
        <w:rPr>
          <w:rFonts w:eastAsia="ArialMT, 'Times New Roman'" w:cs="Arial"/>
          <w:szCs w:val="20"/>
        </w:rPr>
        <w:t>u</w:t>
      </w:r>
      <w:r>
        <w:rPr>
          <w:rFonts w:eastAsia="ArialMT, 'Times New Roman'" w:cs="Arial"/>
          <w:szCs w:val="20"/>
        </w:rPr>
        <w:t xml:space="preserve">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  <w:r w:rsidR="002A45FA">
        <w:rPr>
          <w:rFonts w:eastAsia="ArialMT, 'Times New Roman'" w:cs="Arial"/>
          <w:szCs w:val="20"/>
        </w:rPr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E92C84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81463" w:rsidRPr="00626F80">
        <w:t>oprav</w:t>
      </w:r>
      <w:r w:rsidR="007F7332" w:rsidRPr="00626F80">
        <w:t>y</w:t>
      </w:r>
      <w:r w:rsidR="00B81463" w:rsidRPr="00626F80">
        <w:t xml:space="preserve"> </w:t>
      </w:r>
      <w:r w:rsidR="000F6267" w:rsidRPr="00626F80">
        <w:t>komunikací</w:t>
      </w:r>
      <w:r w:rsidR="00003CDC" w:rsidRPr="00626F80">
        <w:t xml:space="preserve">, každé v hodnotě minimálně </w:t>
      </w:r>
      <w:r w:rsidR="003E17C4">
        <w:t>2</w:t>
      </w:r>
      <w:r w:rsidR="00256D37">
        <w:t>.00</w:t>
      </w:r>
      <w:r w:rsidR="000F6267" w:rsidRPr="00626F80">
        <w:t>0</w:t>
      </w:r>
      <w:r w:rsidR="00003CDC" w:rsidRPr="00626F80">
        <w:t>.000 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  <w:r w:rsidR="00B774D3"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7C728C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</w:t>
      </w:r>
      <w:r w:rsidR="00D1568A">
        <w:rPr>
          <w:rFonts w:eastAsia="ArialMT, 'Times New Roman'" w:cs="Arial"/>
          <w:szCs w:val="20"/>
        </w:rPr>
        <w:t xml:space="preserve"> a ukončení</w:t>
      </w:r>
      <w:r w:rsidR="00CD5413">
        <w:rPr>
          <w:rFonts w:eastAsia="ArialMT, 'Times New Roman'" w:cs="Arial"/>
          <w:szCs w:val="20"/>
        </w:rPr>
        <w:t xml:space="preserve"> </w:t>
      </w:r>
      <w:r>
        <w:rPr>
          <w:rFonts w:eastAsia="ArialMT, 'Times New Roman'" w:cs="Arial"/>
          <w:szCs w:val="20"/>
        </w:rPr>
        <w:t>prací - odstavec 4.1</w:t>
      </w:r>
      <w:r w:rsidR="007C728C">
        <w:rPr>
          <w:rFonts w:eastAsia="ArialMT, 'Times New Roman'" w:cs="Arial"/>
          <w:szCs w:val="20"/>
        </w:rPr>
        <w:t xml:space="preserve">, </w:t>
      </w:r>
      <w:r w:rsidR="007C728C">
        <w:rPr>
          <w:rFonts w:eastAsia="ArialMT, 'Times New Roman'" w:cs="Arial"/>
          <w:b/>
          <w:szCs w:val="20"/>
        </w:rPr>
        <w:t xml:space="preserve">cenu </w:t>
      </w:r>
      <w:r w:rsidR="007C728C">
        <w:rPr>
          <w:rFonts w:eastAsia="ArialMT, 'Times New Roman'" w:cs="Arial"/>
          <w:szCs w:val="20"/>
        </w:rPr>
        <w:t xml:space="preserve">díla – odstavec 5.1 </w:t>
      </w:r>
      <w:r>
        <w:rPr>
          <w:rFonts w:eastAsia="ArialMT, 'Times New Roman'" w:cs="Arial"/>
          <w:szCs w:val="20"/>
        </w:rPr>
        <w:t xml:space="preserve">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  <w:r w:rsidR="007C728C">
        <w:rPr>
          <w:rFonts w:eastAsia="ArialMT, 'Times New Roman'" w:cs="Arial"/>
          <w:szCs w:val="20"/>
        </w:rPr>
        <w:t xml:space="preserve"> </w:t>
      </w:r>
    </w:p>
    <w:p w:rsidR="001B1534" w:rsidRPr="00934CCA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lastRenderedPageBreak/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</w:t>
      </w:r>
      <w:r w:rsidR="00D1568A">
        <w:rPr>
          <w:rFonts w:eastAsia="ArialMT, 'Times New Roman'" w:cs="Arial"/>
          <w:szCs w:val="20"/>
        </w:rPr>
        <w:t>ou cenu</w:t>
      </w:r>
      <w:r>
        <w:rPr>
          <w:rFonts w:eastAsia="ArialMT, 'Times New Roman'" w:cs="Arial"/>
          <w:szCs w:val="20"/>
        </w:rPr>
        <w:t xml:space="preserve"> za celé plnění veřejné zakázky</w:t>
      </w:r>
      <w:r w:rsidR="00D1568A">
        <w:rPr>
          <w:rFonts w:eastAsia="ArialMT, 'Times New Roman'" w:cs="Arial"/>
          <w:szCs w:val="20"/>
        </w:rPr>
        <w:t>. Nabídková cena</w:t>
      </w:r>
      <w:r w:rsidR="001504A9">
        <w:rPr>
          <w:rFonts w:eastAsia="ArialMT, 'Times New Roman'" w:cs="Arial"/>
          <w:szCs w:val="20"/>
        </w:rPr>
        <w:t xml:space="preserve"> bud</w:t>
      </w:r>
      <w:r w:rsidR="00D1568A">
        <w:rPr>
          <w:rFonts w:eastAsia="ArialMT, 'Times New Roman'" w:cs="Arial"/>
          <w:szCs w:val="20"/>
        </w:rPr>
        <w:t>e zpracována</w:t>
      </w:r>
      <w:r>
        <w:rPr>
          <w:rFonts w:eastAsia="ArialMT, 'Times New Roman'" w:cs="Arial"/>
          <w:szCs w:val="20"/>
        </w:rPr>
        <w:t xml:space="preserve">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E92C84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E92C84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0616B0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D1568A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D1568A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D1568A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0616B0">
      <w:pPr>
        <w:pStyle w:val="Standard"/>
        <w:numPr>
          <w:ilvl w:val="1"/>
          <w:numId w:val="21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7D2B53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7D2B53" w:rsidRPr="00CF474E" w:rsidRDefault="007D2B53" w:rsidP="007D2B53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DB2B10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CF474E" w:rsidRPr="00AD59E9" w:rsidRDefault="00CF474E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10616F">
        <w:rPr>
          <w:rFonts w:eastAsia="Arial" w:cs="Arial"/>
          <w:b/>
          <w:bCs/>
          <w:sz w:val="22"/>
          <w:szCs w:val="22"/>
        </w:rPr>
        <w:t>2019</w:t>
      </w:r>
      <w:r>
        <w:rPr>
          <w:rFonts w:eastAsia="Arial" w:cs="Arial"/>
          <w:b/>
          <w:bCs/>
          <w:sz w:val="22"/>
          <w:szCs w:val="22"/>
        </w:rPr>
        <w:t>00</w:t>
      </w:r>
      <w:r w:rsidR="00D1568A">
        <w:rPr>
          <w:rFonts w:eastAsia="Arial" w:cs="Arial"/>
          <w:b/>
          <w:bCs/>
          <w:sz w:val="22"/>
          <w:szCs w:val="22"/>
        </w:rPr>
        <w:t>1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</w:t>
      </w:r>
      <w:r w:rsidR="00AD59E9">
        <w:rPr>
          <w:rFonts w:cs="Arial"/>
          <w:b/>
          <w:bCs/>
          <w:sz w:val="22"/>
          <w:szCs w:val="22"/>
        </w:rPr>
        <w:t xml:space="preserve"> </w:t>
      </w:r>
      <w:r w:rsidR="00933B7B">
        <w:rPr>
          <w:rFonts w:cs="Arial"/>
          <w:b/>
          <w:bCs/>
          <w:sz w:val="22"/>
          <w:szCs w:val="22"/>
        </w:rPr>
        <w:t>Oprava místních komunikací ve Vysokém nad Jizerou</w:t>
      </w:r>
      <w:r w:rsidR="00934CCA">
        <w:rPr>
          <w:rFonts w:cs="Arial"/>
          <w:b/>
          <w:bCs/>
          <w:sz w:val="22"/>
          <w:szCs w:val="22"/>
        </w:rPr>
        <w:t xml:space="preserve"> II</w:t>
      </w:r>
      <w:r w:rsidR="0010616F">
        <w:rPr>
          <w:rFonts w:cs="Arial"/>
          <w:b/>
          <w:bCs/>
          <w:sz w:val="22"/>
          <w:szCs w:val="22"/>
        </w:rPr>
        <w:t>I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34CCA">
        <w:rPr>
          <w:rFonts w:cs="Arial"/>
          <w:szCs w:val="20"/>
        </w:rPr>
        <w:tab/>
      </w:r>
      <w:r>
        <w:rPr>
          <w:rFonts w:cs="Arial"/>
          <w:szCs w:val="20"/>
        </w:rPr>
        <w:t>512 11 Vysoké nad Jizerou</w:t>
      </w:r>
    </w:p>
    <w:p w:rsidR="001B1534" w:rsidRDefault="00CF474E" w:rsidP="00DB2B10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D1568A">
        <w:rPr>
          <w:rFonts w:eastAsia="Calibri" w:cs="Calibri"/>
          <w:b/>
          <w:bCs/>
          <w:szCs w:val="20"/>
        </w:rPr>
        <w:t xml:space="preserve"> </w:t>
      </w:r>
      <w:r w:rsidR="00044400">
        <w:rPr>
          <w:rFonts w:eastAsia="Calibri" w:cs="Calibri"/>
          <w:b/>
          <w:bCs/>
          <w:szCs w:val="20"/>
        </w:rPr>
        <w:t>pondělí</w:t>
      </w:r>
      <w:r w:rsidR="00B774D3">
        <w:rPr>
          <w:rFonts w:eastAsia="Calibri" w:cs="Calibri"/>
          <w:b/>
          <w:bCs/>
          <w:szCs w:val="20"/>
        </w:rPr>
        <w:t xml:space="preserve"> </w:t>
      </w:r>
      <w:r w:rsidR="00AF5AE4">
        <w:rPr>
          <w:rFonts w:eastAsia="Calibri" w:cs="Calibri"/>
          <w:b/>
          <w:bCs/>
          <w:szCs w:val="20"/>
        </w:rPr>
        <w:t>2</w:t>
      </w:r>
      <w:r w:rsidR="00044400">
        <w:rPr>
          <w:rFonts w:eastAsia="Calibri" w:cs="Calibri"/>
          <w:b/>
          <w:bCs/>
          <w:szCs w:val="20"/>
        </w:rPr>
        <w:t>0</w:t>
      </w:r>
      <w:r>
        <w:rPr>
          <w:rFonts w:eastAsia="Calibri" w:cs="Calibri"/>
          <w:b/>
          <w:bCs/>
          <w:szCs w:val="20"/>
        </w:rPr>
        <w:t xml:space="preserve">. </w:t>
      </w:r>
      <w:r w:rsidR="00AF5AE4">
        <w:rPr>
          <w:rFonts w:eastAsia="Calibri" w:cs="Calibri"/>
          <w:b/>
          <w:bCs/>
          <w:szCs w:val="20"/>
        </w:rPr>
        <w:t>5</w:t>
      </w:r>
      <w:r>
        <w:rPr>
          <w:rFonts w:eastAsia="Calibri" w:cs="Calibri"/>
          <w:b/>
          <w:bCs/>
          <w:szCs w:val="20"/>
        </w:rPr>
        <w:t>. 201</w:t>
      </w:r>
      <w:r w:rsidR="0010616F">
        <w:rPr>
          <w:rFonts w:eastAsia="Calibri" w:cs="Calibri"/>
          <w:b/>
          <w:bCs/>
          <w:szCs w:val="20"/>
        </w:rPr>
        <w:t>9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10616F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5653AF">
        <w:rPr>
          <w:noProof/>
          <w:lang w:eastAsia="cs-CZ" w:bidi="ar-SA"/>
        </w:rPr>
        <w:drawing>
          <wp:inline distT="0" distB="0" distL="0" distR="0">
            <wp:extent cx="14192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F232BB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F232BB">
              <w:rPr>
                <w:szCs w:val="20"/>
              </w:rPr>
              <w:fldChar w:fldCharType="separate"/>
            </w:r>
            <w:r w:rsidR="001626BA">
              <w:rPr>
                <w:noProof/>
                <w:szCs w:val="20"/>
              </w:rPr>
              <w:t>25. 4. 2019</w:t>
            </w:r>
            <w:r w:rsidR="00F232BB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2513D0">
          <w:headerReference w:type="default" r:id="rId9"/>
          <w:footerReference w:type="default" r:id="rId10"/>
          <w:pgSz w:w="11906" w:h="16838"/>
          <w:pgMar w:top="2552" w:right="851" w:bottom="1701" w:left="851" w:header="567" w:footer="567" w:gutter="0"/>
          <w:cols w:space="708"/>
        </w:sectPr>
      </w:pPr>
    </w:p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ab/>
      </w:r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F" w:rsidRDefault="0010616F">
      <w:r>
        <w:separator/>
      </w:r>
    </w:p>
  </w:endnote>
  <w:endnote w:type="continuationSeparator" w:id="0">
    <w:p w:rsidR="0010616F" w:rsidRDefault="001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F" w:rsidRDefault="001626BA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10616F" w:rsidRDefault="0010616F">
    <w:pPr>
      <w:pStyle w:val="Standard"/>
      <w:jc w:val="center"/>
      <w:rPr>
        <w:rFonts w:cs="Arial"/>
        <w:sz w:val="12"/>
        <w:szCs w:val="12"/>
      </w:rPr>
    </w:pPr>
  </w:p>
  <w:p w:rsidR="0010616F" w:rsidRDefault="0010616F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10616F" w:rsidRDefault="0010616F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10616F" w:rsidRDefault="0010616F">
    <w:pPr>
      <w:pStyle w:val="Standard"/>
      <w:jc w:val="center"/>
    </w:pPr>
  </w:p>
  <w:p w:rsidR="0010616F" w:rsidRDefault="00F232BB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626BA">
      <w:rPr>
        <w:rStyle w:val="Internetlink"/>
        <w:rFonts w:cs="Arial"/>
        <w:noProof/>
        <w:color w:val="000000"/>
        <w:sz w:val="16"/>
        <w:szCs w:val="16"/>
        <w:u w:val="none"/>
      </w:rPr>
      <w:t>2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10616F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626BA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F" w:rsidRDefault="0010616F">
      <w:r>
        <w:rPr>
          <w:color w:val="000000"/>
        </w:rPr>
        <w:separator/>
      </w:r>
    </w:p>
  </w:footnote>
  <w:footnote w:type="continuationSeparator" w:id="0">
    <w:p w:rsidR="0010616F" w:rsidRDefault="001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10616F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4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0616F" w:rsidRDefault="0010616F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10616F" w:rsidRDefault="0010616F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10616F" w:rsidRDefault="0010616F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10616F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626BA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10616F" w:rsidRDefault="0010616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6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8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17"/>
  </w:num>
  <w:num w:numId="23">
    <w:abstractNumId w:val="14"/>
  </w:num>
  <w:num w:numId="24">
    <w:abstractNumId w:val="16"/>
  </w:num>
  <w:num w:numId="25">
    <w:abstractNumId w:val="8"/>
  </w:num>
  <w:num w:numId="26">
    <w:abstractNumId w:val="18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22EBD"/>
    <w:rsid w:val="00044400"/>
    <w:rsid w:val="000616B0"/>
    <w:rsid w:val="000646CB"/>
    <w:rsid w:val="00064709"/>
    <w:rsid w:val="000925B2"/>
    <w:rsid w:val="00094BD3"/>
    <w:rsid w:val="000C7DE3"/>
    <w:rsid w:val="000D6E02"/>
    <w:rsid w:val="000F3D8E"/>
    <w:rsid w:val="000F6267"/>
    <w:rsid w:val="0010616F"/>
    <w:rsid w:val="001161DF"/>
    <w:rsid w:val="001176FE"/>
    <w:rsid w:val="0013310D"/>
    <w:rsid w:val="001504A9"/>
    <w:rsid w:val="001626BA"/>
    <w:rsid w:val="00175C4C"/>
    <w:rsid w:val="001A0641"/>
    <w:rsid w:val="001A7593"/>
    <w:rsid w:val="001B1534"/>
    <w:rsid w:val="001B1923"/>
    <w:rsid w:val="001B669C"/>
    <w:rsid w:val="0020093B"/>
    <w:rsid w:val="002171CB"/>
    <w:rsid w:val="00242912"/>
    <w:rsid w:val="002513D0"/>
    <w:rsid w:val="00256D37"/>
    <w:rsid w:val="00272AD2"/>
    <w:rsid w:val="002A04E6"/>
    <w:rsid w:val="002A106C"/>
    <w:rsid w:val="002A45FA"/>
    <w:rsid w:val="002B44A3"/>
    <w:rsid w:val="002D1228"/>
    <w:rsid w:val="002D6F68"/>
    <w:rsid w:val="002E4618"/>
    <w:rsid w:val="002F745A"/>
    <w:rsid w:val="0033092C"/>
    <w:rsid w:val="00351DCF"/>
    <w:rsid w:val="003A1474"/>
    <w:rsid w:val="003A1F1A"/>
    <w:rsid w:val="003E17C4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425BB"/>
    <w:rsid w:val="005653AF"/>
    <w:rsid w:val="00567C25"/>
    <w:rsid w:val="00577ED9"/>
    <w:rsid w:val="0058712D"/>
    <w:rsid w:val="0059035F"/>
    <w:rsid w:val="0059345A"/>
    <w:rsid w:val="005C609F"/>
    <w:rsid w:val="005E1814"/>
    <w:rsid w:val="005E5329"/>
    <w:rsid w:val="005F0908"/>
    <w:rsid w:val="005F30C0"/>
    <w:rsid w:val="00601C4F"/>
    <w:rsid w:val="00626F80"/>
    <w:rsid w:val="00670439"/>
    <w:rsid w:val="00680E81"/>
    <w:rsid w:val="00695103"/>
    <w:rsid w:val="006B00CB"/>
    <w:rsid w:val="006E371D"/>
    <w:rsid w:val="006F18CA"/>
    <w:rsid w:val="006F37DF"/>
    <w:rsid w:val="006F7BEA"/>
    <w:rsid w:val="0073219C"/>
    <w:rsid w:val="007603A2"/>
    <w:rsid w:val="00786228"/>
    <w:rsid w:val="007A6261"/>
    <w:rsid w:val="007A6AAA"/>
    <w:rsid w:val="007B1C3F"/>
    <w:rsid w:val="007C5DEA"/>
    <w:rsid w:val="007C728C"/>
    <w:rsid w:val="007D2B53"/>
    <w:rsid w:val="007F7332"/>
    <w:rsid w:val="00807AE7"/>
    <w:rsid w:val="008556AB"/>
    <w:rsid w:val="0089260D"/>
    <w:rsid w:val="008962B5"/>
    <w:rsid w:val="008C7474"/>
    <w:rsid w:val="008D1000"/>
    <w:rsid w:val="008E11EB"/>
    <w:rsid w:val="008E3211"/>
    <w:rsid w:val="008F31A0"/>
    <w:rsid w:val="00910D2B"/>
    <w:rsid w:val="0092110B"/>
    <w:rsid w:val="00933895"/>
    <w:rsid w:val="00933B7B"/>
    <w:rsid w:val="00934CCA"/>
    <w:rsid w:val="00982594"/>
    <w:rsid w:val="00993F6A"/>
    <w:rsid w:val="00996C30"/>
    <w:rsid w:val="009D14CD"/>
    <w:rsid w:val="009D5880"/>
    <w:rsid w:val="009E4AAC"/>
    <w:rsid w:val="00A22CAD"/>
    <w:rsid w:val="00A24E7D"/>
    <w:rsid w:val="00A373E0"/>
    <w:rsid w:val="00A517C3"/>
    <w:rsid w:val="00A62212"/>
    <w:rsid w:val="00A74975"/>
    <w:rsid w:val="00AA2A6B"/>
    <w:rsid w:val="00AD309C"/>
    <w:rsid w:val="00AD50A8"/>
    <w:rsid w:val="00AD59E9"/>
    <w:rsid w:val="00AF5AE4"/>
    <w:rsid w:val="00B246E7"/>
    <w:rsid w:val="00B34F4B"/>
    <w:rsid w:val="00B57DCC"/>
    <w:rsid w:val="00B774D3"/>
    <w:rsid w:val="00B77C4F"/>
    <w:rsid w:val="00B81463"/>
    <w:rsid w:val="00B83ECB"/>
    <w:rsid w:val="00B84BFF"/>
    <w:rsid w:val="00B92D0A"/>
    <w:rsid w:val="00B95408"/>
    <w:rsid w:val="00BD3A13"/>
    <w:rsid w:val="00BF2711"/>
    <w:rsid w:val="00C02208"/>
    <w:rsid w:val="00C1352C"/>
    <w:rsid w:val="00C24642"/>
    <w:rsid w:val="00C4384B"/>
    <w:rsid w:val="00C5260F"/>
    <w:rsid w:val="00C62BA2"/>
    <w:rsid w:val="00C67FE4"/>
    <w:rsid w:val="00C734BD"/>
    <w:rsid w:val="00C971CD"/>
    <w:rsid w:val="00CA548C"/>
    <w:rsid w:val="00CA5987"/>
    <w:rsid w:val="00CB287A"/>
    <w:rsid w:val="00CD5413"/>
    <w:rsid w:val="00CE28CF"/>
    <w:rsid w:val="00CF31E3"/>
    <w:rsid w:val="00CF474E"/>
    <w:rsid w:val="00D115E6"/>
    <w:rsid w:val="00D1568A"/>
    <w:rsid w:val="00D50356"/>
    <w:rsid w:val="00D82735"/>
    <w:rsid w:val="00D8650B"/>
    <w:rsid w:val="00D93850"/>
    <w:rsid w:val="00D947DC"/>
    <w:rsid w:val="00DB2B10"/>
    <w:rsid w:val="00DB747F"/>
    <w:rsid w:val="00DC7EEA"/>
    <w:rsid w:val="00DF2A9E"/>
    <w:rsid w:val="00E161AB"/>
    <w:rsid w:val="00E21999"/>
    <w:rsid w:val="00E50D9F"/>
    <w:rsid w:val="00E56E37"/>
    <w:rsid w:val="00E91038"/>
    <w:rsid w:val="00E92C84"/>
    <w:rsid w:val="00EA2432"/>
    <w:rsid w:val="00EB7788"/>
    <w:rsid w:val="00EC3EA2"/>
    <w:rsid w:val="00ED5FA2"/>
    <w:rsid w:val="00EF292A"/>
    <w:rsid w:val="00F20E42"/>
    <w:rsid w:val="00F232BB"/>
    <w:rsid w:val="00F411B0"/>
    <w:rsid w:val="00F47CD4"/>
    <w:rsid w:val="00F51B2F"/>
    <w:rsid w:val="00F54E80"/>
    <w:rsid w:val="00F55ECB"/>
    <w:rsid w:val="00F6056E"/>
    <w:rsid w:val="00F629D2"/>
    <w:rsid w:val="00F70C82"/>
    <w:rsid w:val="00FA54BF"/>
    <w:rsid w:val="00FD14D2"/>
    <w:rsid w:val="00FE19BF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E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2EB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22E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2EBD"/>
    <w:pPr>
      <w:spacing w:after="120"/>
    </w:pPr>
  </w:style>
  <w:style w:type="paragraph" w:styleId="Seznam">
    <w:name w:val="List"/>
    <w:basedOn w:val="Textbody"/>
    <w:rsid w:val="00022EBD"/>
  </w:style>
  <w:style w:type="paragraph" w:styleId="Titulek">
    <w:name w:val="caption"/>
    <w:basedOn w:val="Standard"/>
    <w:rsid w:val="00022EB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2EBD"/>
    <w:pPr>
      <w:suppressLineNumbers/>
    </w:pPr>
  </w:style>
  <w:style w:type="paragraph" w:styleId="Zhlav">
    <w:name w:val="head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22EBD"/>
    <w:pPr>
      <w:suppressLineNumbers/>
    </w:pPr>
  </w:style>
  <w:style w:type="paragraph" w:styleId="Zpat">
    <w:name w:val="foot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22EBD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22EBD"/>
    <w:pPr>
      <w:jc w:val="center"/>
    </w:pPr>
    <w:rPr>
      <w:b/>
      <w:bCs/>
    </w:rPr>
  </w:style>
  <w:style w:type="character" w:customStyle="1" w:styleId="Internetlink">
    <w:name w:val="Internet link"/>
    <w:rsid w:val="00022EBD"/>
    <w:rPr>
      <w:color w:val="000080"/>
      <w:u w:val="single"/>
    </w:rPr>
  </w:style>
  <w:style w:type="character" w:customStyle="1" w:styleId="NumberingSymbols">
    <w:name w:val="Numbering Symbols"/>
    <w:rsid w:val="00022EBD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22EBD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22EBD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22EBD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22EBD"/>
  </w:style>
  <w:style w:type="character" w:customStyle="1" w:styleId="WW8Num1z2">
    <w:name w:val="WW8Num1z2"/>
    <w:rsid w:val="00022EBD"/>
  </w:style>
  <w:style w:type="character" w:customStyle="1" w:styleId="WW8Num1z3">
    <w:name w:val="WW8Num1z3"/>
    <w:rsid w:val="00022EBD"/>
  </w:style>
  <w:style w:type="character" w:customStyle="1" w:styleId="WW8Num1z4">
    <w:name w:val="WW8Num1z4"/>
    <w:rsid w:val="00022EBD"/>
  </w:style>
  <w:style w:type="character" w:customStyle="1" w:styleId="WW8Num1z5">
    <w:name w:val="WW8Num1z5"/>
    <w:rsid w:val="00022EBD"/>
  </w:style>
  <w:style w:type="character" w:customStyle="1" w:styleId="WW8Num1z6">
    <w:name w:val="WW8Num1z6"/>
    <w:rsid w:val="00022EBD"/>
  </w:style>
  <w:style w:type="character" w:customStyle="1" w:styleId="WW8Num1z7">
    <w:name w:val="WW8Num1z7"/>
    <w:rsid w:val="00022EBD"/>
  </w:style>
  <w:style w:type="character" w:customStyle="1" w:styleId="WW8Num1z8">
    <w:name w:val="WW8Num1z8"/>
    <w:rsid w:val="00022EBD"/>
  </w:style>
  <w:style w:type="numbering" w:customStyle="1" w:styleId="WW8Num3">
    <w:name w:val="WW8Num3"/>
    <w:basedOn w:val="Bezseznamu"/>
    <w:rsid w:val="00022EBD"/>
    <w:pPr>
      <w:numPr>
        <w:numId w:val="1"/>
      </w:numPr>
    </w:pPr>
  </w:style>
  <w:style w:type="numbering" w:customStyle="1" w:styleId="WW8Num4">
    <w:name w:val="WW8Num4"/>
    <w:basedOn w:val="Bezseznamu"/>
    <w:rsid w:val="00022EBD"/>
    <w:pPr>
      <w:numPr>
        <w:numId w:val="2"/>
      </w:numPr>
    </w:pPr>
  </w:style>
  <w:style w:type="numbering" w:customStyle="1" w:styleId="WW8Num2">
    <w:name w:val="WW8Num2"/>
    <w:basedOn w:val="Bezseznamu"/>
    <w:rsid w:val="00022EBD"/>
    <w:pPr>
      <w:numPr>
        <w:numId w:val="3"/>
      </w:numPr>
    </w:pPr>
  </w:style>
  <w:style w:type="numbering" w:customStyle="1" w:styleId="WW8Num1">
    <w:name w:val="WW8Num1"/>
    <w:basedOn w:val="Bezseznamu"/>
    <w:rsid w:val="00022EBD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EB7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2024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19</cp:revision>
  <cp:lastPrinted>2019-04-25T13:10:00Z</cp:lastPrinted>
  <dcterms:created xsi:type="dcterms:W3CDTF">2018-03-13T13:53:00Z</dcterms:created>
  <dcterms:modified xsi:type="dcterms:W3CDTF">2019-04-25T13:25:00Z</dcterms:modified>
</cp:coreProperties>
</file>