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C01DA8" w:rsidRDefault="001177A5" w:rsidP="001B1534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Zpracování projektové dokumentace </w:t>
      </w:r>
    </w:p>
    <w:p w:rsidR="001B1534" w:rsidRDefault="001177A5" w:rsidP="001B1534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k revitalizaci (rekonstrukci) cest na Tomášovy vrchy a na Prdek</w:t>
      </w:r>
    </w:p>
    <w:p w:rsidR="001B1534" w:rsidRDefault="001B1534" w:rsidP="00E51848">
      <w:pPr>
        <w:pStyle w:val="Standard"/>
        <w:spacing w:before="200" w:after="200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1177A5">
        <w:rPr>
          <w:rFonts w:eastAsia="Calibri-Bold" w:cs="Calibri-Bold"/>
          <w:b/>
          <w:bCs/>
          <w:sz w:val="26"/>
          <w:szCs w:val="26"/>
        </w:rPr>
        <w:t>9</w:t>
      </w:r>
      <w:r>
        <w:rPr>
          <w:rFonts w:eastAsia="Calibri-Bold" w:cs="Calibri-Bold"/>
          <w:b/>
          <w:bCs/>
          <w:sz w:val="26"/>
          <w:szCs w:val="26"/>
        </w:rPr>
        <w:t>00</w:t>
      </w:r>
      <w:r w:rsidR="001177A5">
        <w:rPr>
          <w:rFonts w:eastAsia="Calibri-Bold" w:cs="Calibri-Bold"/>
          <w:b/>
          <w:bCs/>
          <w:sz w:val="26"/>
          <w:szCs w:val="26"/>
        </w:rPr>
        <w:t>5</w:t>
      </w:r>
    </w:p>
    <w:p w:rsidR="001B1534" w:rsidRDefault="001B1534" w:rsidP="001B1534">
      <w:pPr>
        <w:pStyle w:val="Standard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506C0D">
        <w:rPr>
          <w:rFonts w:cs="Arial"/>
          <w:iCs/>
          <w:szCs w:val="20"/>
        </w:rPr>
        <w:t>III</w:t>
      </w:r>
      <w:r>
        <w:rPr>
          <w:rFonts w:cs="Arial"/>
          <w:iCs/>
          <w:szCs w:val="20"/>
        </w:rPr>
        <w:t xml:space="preserve">. kategorie na </w:t>
      </w:r>
      <w:r w:rsidR="007335D3">
        <w:rPr>
          <w:rFonts w:cs="Arial"/>
          <w:iCs/>
          <w:szCs w:val="20"/>
        </w:rPr>
        <w:t>služby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996C30">
        <w:rPr>
          <w:rFonts w:cs="Arial"/>
          <w:iCs/>
          <w:szCs w:val="20"/>
        </w:rPr>
        <w:t xml:space="preserve"> č. </w:t>
      </w:r>
      <w:r w:rsidR="001177A5">
        <w:rPr>
          <w:rFonts w:cs="Arial"/>
          <w:iCs/>
          <w:szCs w:val="20"/>
        </w:rPr>
        <w:t>134/2016 Sb., o zadávání veřejných zakázek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C01DA8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C01DA8">
        <w:rPr>
          <w:rFonts w:eastAsia="Calibri" w:cs="Calibri"/>
          <w:szCs w:val="20"/>
        </w:rPr>
        <w:t xml:space="preserve"> / </w:t>
      </w:r>
      <w:r>
        <w:rPr>
          <w:rFonts w:eastAsia="Calibri" w:cs="Calibri"/>
          <w:szCs w:val="20"/>
        </w:rPr>
        <w:t>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Ing. Jaroslav Nechanický, tel.: 481 593 903, mobil.: 605 976 887</w:t>
      </w:r>
    </w:p>
    <w:p w:rsidR="001B1534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email: mistostarosta@vysokenadjizerou.cz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FB1AFA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Jedná se o veřejnou zakázku malého rozsahu I</w:t>
      </w:r>
      <w:r w:rsidR="00506C0D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7335D3">
        <w:rPr>
          <w:rFonts w:cs="Arial"/>
          <w:iCs/>
          <w:szCs w:val="20"/>
        </w:rPr>
        <w:t>služby</w:t>
      </w:r>
      <w:r w:rsidR="00E161AB" w:rsidRPr="00B81463">
        <w:rPr>
          <w:rFonts w:cs="Arial"/>
          <w:iCs/>
          <w:szCs w:val="20"/>
        </w:rPr>
        <w:t>.</w:t>
      </w:r>
    </w:p>
    <w:p w:rsidR="001177A5" w:rsidRPr="00523B3B" w:rsidRDefault="001177A5" w:rsidP="001177A5">
      <w:pPr>
        <w:pStyle w:val="Standard"/>
        <w:spacing w:after="57"/>
        <w:ind w:left="352" w:hanging="36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Název zakázky: </w:t>
      </w:r>
      <w:r w:rsidRPr="00523B3B">
        <w:rPr>
          <w:rFonts w:cs="Arial"/>
          <w:b/>
          <w:bCs/>
          <w:szCs w:val="20"/>
        </w:rPr>
        <w:t>Zpracování projektové dokumentace k</w:t>
      </w:r>
      <w:r>
        <w:rPr>
          <w:rFonts w:cs="Arial"/>
          <w:b/>
          <w:bCs/>
          <w:szCs w:val="20"/>
        </w:rPr>
        <w:t> revitalizaci (rekonstrukci) cest na Tomášovy vrchy a na Prdek.</w:t>
      </w:r>
    </w:p>
    <w:p w:rsidR="001177A5" w:rsidRDefault="001177A5" w:rsidP="001177A5">
      <w:pPr>
        <w:pStyle w:val="Standard"/>
        <w:spacing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Předmětem zakázky je </w:t>
      </w:r>
      <w:r>
        <w:rPr>
          <w:rFonts w:eastAsia="Calibri" w:cs="Arial"/>
          <w:bCs/>
          <w:szCs w:val="20"/>
        </w:rPr>
        <w:t xml:space="preserve">vypracování </w:t>
      </w:r>
      <w:r w:rsidRPr="002E67F6">
        <w:rPr>
          <w:rFonts w:eastAsia="Calibri" w:cs="Arial"/>
          <w:b/>
          <w:bCs/>
          <w:szCs w:val="20"/>
        </w:rPr>
        <w:t xml:space="preserve">projektové dokumentace pro provedení stavby </w:t>
      </w:r>
      <w:r w:rsidRPr="00467DC1">
        <w:rPr>
          <w:rFonts w:eastAsia="Calibri" w:cs="Arial"/>
          <w:bCs/>
          <w:szCs w:val="20"/>
        </w:rPr>
        <w:t>(P</w:t>
      </w:r>
      <w:r>
        <w:rPr>
          <w:rFonts w:eastAsia="Calibri" w:cs="Arial"/>
          <w:bCs/>
          <w:szCs w:val="20"/>
        </w:rPr>
        <w:t xml:space="preserve">DPS) na revitalizaci (rekonstrukci) cest na Tomášovy vrchy a na Prdek včetně odvodnění a revitalizace zeleně podél cest, včetně </w:t>
      </w:r>
      <w:r w:rsidRPr="0005049B">
        <w:rPr>
          <w:rFonts w:eastAsia="Calibri" w:cs="Arial"/>
          <w:b/>
          <w:bCs/>
          <w:szCs w:val="20"/>
        </w:rPr>
        <w:t>výkazu výměr</w:t>
      </w:r>
      <w:r>
        <w:rPr>
          <w:rFonts w:eastAsia="Calibri" w:cs="Arial"/>
          <w:bCs/>
          <w:szCs w:val="20"/>
        </w:rPr>
        <w:t xml:space="preserve"> v úrovni stupně dokumentace pro provedení stavby a oceněného rozpočtu. </w:t>
      </w:r>
      <w:r w:rsidRPr="00467DC1">
        <w:rPr>
          <w:rFonts w:eastAsia="Calibri" w:cs="Arial"/>
          <w:bCs/>
          <w:szCs w:val="20"/>
        </w:rPr>
        <w:t xml:space="preserve">Zadavatel zajistí veškeré </w:t>
      </w:r>
      <w:r w:rsidRPr="00467DC1">
        <w:rPr>
          <w:rFonts w:eastAsia="Calibri" w:cs="Arial"/>
          <w:b/>
          <w:bCs/>
          <w:szCs w:val="20"/>
        </w:rPr>
        <w:t>inženýrské činnosti</w:t>
      </w:r>
      <w:r w:rsidRPr="00467DC1">
        <w:rPr>
          <w:rFonts w:eastAsia="Calibri" w:cs="Arial"/>
          <w:bCs/>
          <w:szCs w:val="20"/>
        </w:rPr>
        <w:t xml:space="preserve"> za účelem získání příslušných správních rozhodnutí. </w:t>
      </w:r>
      <w:r>
        <w:rPr>
          <w:rFonts w:eastAsia="Calibri" w:cs="Arial"/>
          <w:bCs/>
          <w:szCs w:val="20"/>
        </w:rPr>
        <w:t xml:space="preserve">Zpracování PDPS bude řešit rekonstrukci cest v těchto úsecích (oba se nachází v ochranném pásmu Krkonošského národního parku): </w:t>
      </w:r>
    </w:p>
    <w:p w:rsidR="001177A5" w:rsidRDefault="001177A5" w:rsidP="001177A5">
      <w:pPr>
        <w:pStyle w:val="Standard"/>
        <w:numPr>
          <w:ilvl w:val="0"/>
          <w:numId w:val="28"/>
        </w:numPr>
        <w:spacing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cesta na Tomášovy vrchy je na pozemku ppč. 2502/4 v k. ú. Sklenařice v úseku od č. p. 91 až k pozemku ppč. 2522/1 v k. ú. Sklenařice. Úsek je dlouhý cca 660 m s šířkou cesty 2,8 - 3,0 m.</w:t>
      </w:r>
    </w:p>
    <w:p w:rsidR="001177A5" w:rsidRDefault="001177A5" w:rsidP="001177A5">
      <w:pPr>
        <w:pStyle w:val="Standard"/>
        <w:numPr>
          <w:ilvl w:val="0"/>
          <w:numId w:val="28"/>
        </w:numPr>
        <w:spacing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cesta na Prdek je na pozemcích  ppč. 2502/5 v k. ú. Sklenařice a 1608 v k. ú. Paseky nad Jizerou v úseku od objektu na pozemcích ppč. 842/2 a 839/2 v k. ú. Sklenařice nad objekt č. p. 222 v Pasekách nad Jizerou na stpč. 256 v k. ú. Paseky nad Jizerou. Úsek je dlouhý cca 650 m dlouhý s šířkou cesty 2,8 – 3,0 m.</w:t>
      </w:r>
    </w:p>
    <w:p w:rsidR="00F82229" w:rsidRDefault="001177A5" w:rsidP="001177A5">
      <w:pPr>
        <w:pStyle w:val="Standard"/>
        <w:spacing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Projektová dokumentace bude sloužit jako podklad k vypracování žádosti o dotaci ze Státního fondu životního prostředí</w:t>
      </w:r>
      <w:r w:rsidR="00A701E3">
        <w:rPr>
          <w:rFonts w:eastAsia="Calibri" w:cs="Arial"/>
          <w:bCs/>
          <w:szCs w:val="20"/>
        </w:rPr>
        <w:t xml:space="preserve">. </w:t>
      </w:r>
      <w:r w:rsidR="00F82229">
        <w:rPr>
          <w:rFonts w:eastAsia="Calibri" w:cs="Arial"/>
          <w:bCs/>
          <w:szCs w:val="20"/>
        </w:rPr>
        <w:t xml:space="preserve"> </w:t>
      </w:r>
    </w:p>
    <w:p w:rsidR="001B1534" w:rsidRDefault="001B1534" w:rsidP="00965EB5">
      <w:pPr>
        <w:pStyle w:val="Standard"/>
        <w:spacing w:before="12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>
        <w:rPr>
          <w:rFonts w:eastAsia="Calibri" w:cs="Arial"/>
          <w:b/>
          <w:bCs/>
          <w:szCs w:val="20"/>
        </w:rPr>
        <w:t xml:space="preserve">  </w:t>
      </w:r>
    </w:p>
    <w:p w:rsidR="001B1534" w:rsidRDefault="001B1534" w:rsidP="00965EB5">
      <w:pPr>
        <w:pStyle w:val="Standard"/>
        <w:autoSpaceDE w:val="0"/>
        <w:spacing w:before="120" w:after="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>
        <w:rPr>
          <w:rFonts w:eastAsia="Calibri" w:cs="Arial"/>
          <w:b/>
          <w:bCs/>
          <w:color w:val="000000"/>
          <w:sz w:val="21"/>
          <w:szCs w:val="21"/>
        </w:rPr>
        <w:t xml:space="preserve">Zadavatel si vyhrazuje právo na upřesnění rozsahu předmětu díla po ukončení výběrového řízení. </w:t>
      </w:r>
    </w:p>
    <w:p w:rsidR="001B1534" w:rsidRPr="00A701E3" w:rsidRDefault="001B1534" w:rsidP="00A701E3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177A5" w:rsidRDefault="001B1534" w:rsidP="00A701E3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1177A5">
        <w:rPr>
          <w:rFonts w:eastAsia="Calibri" w:cs="Arial"/>
          <w:szCs w:val="20"/>
        </w:rPr>
        <w:t xml:space="preserve">město </w:t>
      </w:r>
      <w:r w:rsidR="00680E81">
        <w:rPr>
          <w:rFonts w:eastAsia="Calibri" w:cs="Arial"/>
          <w:szCs w:val="20"/>
        </w:rPr>
        <w:t>Vysoké nad Jizerou</w:t>
      </w:r>
      <w:r w:rsidR="00F82229">
        <w:rPr>
          <w:rFonts w:eastAsia="Calibri" w:cs="Arial"/>
          <w:szCs w:val="20"/>
        </w:rPr>
        <w:t xml:space="preserve">, </w:t>
      </w:r>
      <w:r w:rsidR="001177A5">
        <w:rPr>
          <w:rFonts w:eastAsia="Calibri" w:cs="Arial"/>
          <w:szCs w:val="20"/>
        </w:rPr>
        <w:t>místní část Sklenařice a obec Paseky nad Jizerou</w:t>
      </w:r>
      <w:r w:rsidR="00A701E3">
        <w:rPr>
          <w:rFonts w:eastAsia="Calibri" w:cs="Arial"/>
          <w:szCs w:val="20"/>
        </w:rPr>
        <w:t>.</w:t>
      </w:r>
    </w:p>
    <w:p w:rsidR="001B1534" w:rsidRDefault="00A701E3" w:rsidP="00A701E3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 </w:t>
      </w:r>
    </w:p>
    <w:p w:rsidR="001B1534" w:rsidRDefault="00C01DA8" w:rsidP="00023B2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br w:type="page"/>
      </w:r>
      <w:r w:rsidR="001B1534">
        <w:rPr>
          <w:rFonts w:eastAsia="Calibri" w:cs="Arial"/>
          <w:b/>
          <w:bCs/>
          <w:caps/>
          <w:szCs w:val="20"/>
        </w:rPr>
        <w:lastRenderedPageBreak/>
        <w:t xml:space="preserve">ROZSAH </w:t>
      </w:r>
      <w:r w:rsidR="00F82229">
        <w:rPr>
          <w:rFonts w:eastAsia="Calibri" w:cs="Arial"/>
          <w:b/>
          <w:bCs/>
          <w:caps/>
          <w:szCs w:val="20"/>
        </w:rPr>
        <w:t>plnění</w:t>
      </w:r>
    </w:p>
    <w:p w:rsidR="001177A5" w:rsidRPr="00C57FE1" w:rsidRDefault="001177A5" w:rsidP="001177A5">
      <w:pPr>
        <w:pStyle w:val="Standard"/>
        <w:numPr>
          <w:ilvl w:val="0"/>
          <w:numId w:val="25"/>
        </w:numPr>
        <w:spacing w:after="57"/>
        <w:jc w:val="both"/>
        <w:rPr>
          <w:rFonts w:eastAsia="Calibri" w:cs="Calibri"/>
          <w:szCs w:val="20"/>
        </w:rPr>
      </w:pPr>
      <w:r w:rsidRPr="0005049B">
        <w:rPr>
          <w:rFonts w:eastAsia="Calibri" w:cs="Arial"/>
          <w:b/>
          <w:szCs w:val="20"/>
        </w:rPr>
        <w:t>Zpracování dokumentace</w:t>
      </w:r>
      <w:r>
        <w:rPr>
          <w:rFonts w:eastAsia="Calibri" w:cs="Arial"/>
          <w:szCs w:val="20"/>
        </w:rPr>
        <w:t xml:space="preserve"> pro provedení stavby (PDPS) budou v souladu se zákonem č. 183/2006 Sb., stavební zákon a budou zpracovány v rozsahu, členění a míře podrobnosti dle vyhláš</w:t>
      </w:r>
      <w:r w:rsidR="0060511C">
        <w:rPr>
          <w:rFonts w:eastAsia="Calibri" w:cs="Arial"/>
          <w:szCs w:val="20"/>
        </w:rPr>
        <w:t>ky č. 503/2006 Sb., vyhlášky č. </w:t>
      </w:r>
      <w:r>
        <w:rPr>
          <w:rFonts w:eastAsia="Calibri" w:cs="Arial"/>
          <w:szCs w:val="20"/>
        </w:rPr>
        <w:t>499/2006 Sb., vyhlášky č. 146/2008 Sb., vyhlášky č. 398/2009 Sb. a zákona č. 134/2016 Sb., vše v platném znění, v rozsahu dokumentace pro územní rozhodnutí, pro ohlášení či stavební povolení a provádění stavby včetně všech potřebných konstrukčních detailů a jiných částí stavby, které by pro realizaci stavby toto zpřesnění vyžadovaly. Součástí PDPS budou i dopravně inženýrská opatření – DIO.</w:t>
      </w:r>
    </w:p>
    <w:p w:rsidR="001177A5" w:rsidRDefault="001177A5" w:rsidP="001177A5">
      <w:pPr>
        <w:pStyle w:val="Standard"/>
        <w:numPr>
          <w:ilvl w:val="0"/>
          <w:numId w:val="25"/>
        </w:numPr>
        <w:spacing w:after="57"/>
        <w:jc w:val="both"/>
        <w:rPr>
          <w:rFonts w:eastAsia="Calibri" w:cs="Calibri"/>
          <w:szCs w:val="20"/>
        </w:rPr>
      </w:pPr>
      <w:r w:rsidRPr="00B37501">
        <w:rPr>
          <w:rFonts w:eastAsia="Calibri" w:cs="Calibri"/>
          <w:b/>
          <w:szCs w:val="20"/>
        </w:rPr>
        <w:t>Zpracování výkazu výměr</w:t>
      </w:r>
      <w:r>
        <w:rPr>
          <w:rFonts w:eastAsia="Calibri" w:cs="Calibri"/>
          <w:szCs w:val="20"/>
        </w:rPr>
        <w:t xml:space="preserve">, položkového rozpočtu stavby, slepého rozpočtu k výběrovému řízení na zhotovitele stavby a zpracování technické specifikace prací, výrobků a materiálů. Výkaz výměr všech profesí musí být úplný a podrobný, s podrobným a jednoznačným technickým popisem všech použitých materiálů a výrobků, jakož i s přesnou specifikací všech prací a dodávek. Tento výkaz výměr vychází ze stupně podrobnosti řešené projektové dokumentace. Výkaz výměr všech profesí HSV, PSV a montáží bude obsahovat všechna množství veškerých prací a dodávek, které je potřeba udělat pro řádnou a úplnou realizaci stavby dle této projektové dokumentace tak, aby dílo mohlo být realizováno bez víceprací, které by vyplývaly z neúplnosti projektové dokumentace nebo neúplnosti výkazu výměr. Tento požadavek neplatí pro vícepráce, které zhotovitel nemohl předvídat ani při vynaložení náležité odborné péče a pečlivosti. </w:t>
      </w:r>
    </w:p>
    <w:p w:rsidR="00F82229" w:rsidRDefault="001177A5" w:rsidP="001177A5">
      <w:pPr>
        <w:pStyle w:val="Standard"/>
        <w:numPr>
          <w:ilvl w:val="0"/>
          <w:numId w:val="25"/>
        </w:numPr>
        <w:spacing w:after="57"/>
        <w:jc w:val="both"/>
        <w:rPr>
          <w:rFonts w:eastAsia="Calibri" w:cs="Calibri"/>
          <w:szCs w:val="20"/>
        </w:rPr>
      </w:pPr>
      <w:r w:rsidRPr="00207FDC">
        <w:rPr>
          <w:rFonts w:eastAsia="Calibri" w:cs="Calibri"/>
          <w:b/>
          <w:szCs w:val="20"/>
        </w:rPr>
        <w:t>Zajištění autorského dozoru</w:t>
      </w:r>
      <w:r>
        <w:rPr>
          <w:rFonts w:eastAsia="Calibri" w:cs="Calibri"/>
          <w:szCs w:val="20"/>
        </w:rPr>
        <w:t xml:space="preserve"> po dobu provádění stavby v rozsahu 10 hodin. Součástí dozoru bude 4x návštěva na stavbě na vyžádání zadavatele a řešení potřebných detailů</w:t>
      </w:r>
      <w:r w:rsidR="00F82229">
        <w:rPr>
          <w:rFonts w:eastAsia="Calibri" w:cs="Calibri"/>
          <w:szCs w:val="20"/>
        </w:rPr>
        <w:t>.</w:t>
      </w:r>
    </w:p>
    <w:p w:rsidR="00023B2A" w:rsidRPr="00023B2A" w:rsidRDefault="00023B2A" w:rsidP="00023B2A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 w:rsidRPr="00023B2A">
        <w:rPr>
          <w:rFonts w:eastAsia="Calibri" w:cs="Arial"/>
          <w:b/>
          <w:bCs/>
          <w:caps/>
          <w:szCs w:val="20"/>
        </w:rPr>
        <w:t>Způsob zpracování</w:t>
      </w:r>
    </w:p>
    <w:p w:rsidR="001177A5" w:rsidRDefault="001177A5" w:rsidP="001177A5">
      <w:pPr>
        <w:pStyle w:val="Standard"/>
        <w:tabs>
          <w:tab w:val="left" w:pos="720"/>
        </w:tabs>
        <w:autoSpaceDE w:val="0"/>
        <w:spacing w:before="120"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PDPS </w:t>
      </w:r>
      <w:r>
        <w:rPr>
          <w:rFonts w:eastAsia="Calibri" w:cs="Arial"/>
          <w:bCs/>
          <w:szCs w:val="20"/>
        </w:rPr>
        <w:t>budou vyhotoveny a zadavateli předány v tištěné podobě ve 4 vyhotoveních a v elektronické podobě – textové dokumenty ve formátu DOC a PDF, výkresy ve formátu DWG a PDF.</w:t>
      </w:r>
    </w:p>
    <w:p w:rsidR="001177A5" w:rsidRDefault="001177A5" w:rsidP="001177A5">
      <w:pPr>
        <w:pStyle w:val="Standard"/>
        <w:tabs>
          <w:tab w:val="left" w:pos="720"/>
        </w:tabs>
        <w:autoSpaceDE w:val="0"/>
        <w:spacing w:before="120" w:after="5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>Výkaz výměr a rozpočet</w:t>
      </w:r>
      <w:r>
        <w:rPr>
          <w:rFonts w:eastAsia="Calibri" w:cs="Arial"/>
          <w:bCs/>
          <w:szCs w:val="20"/>
        </w:rPr>
        <w:t xml:space="preserve"> stavby budou vyhotoveny a zadavateli předány v tištěné formě ve 2 vyhotoveních a v elektronické podobě ve formátu XLS a PDF.</w:t>
      </w:r>
    </w:p>
    <w:p w:rsidR="001177A5" w:rsidRDefault="001177A5" w:rsidP="001177A5">
      <w:pPr>
        <w:pStyle w:val="Standard"/>
        <w:tabs>
          <w:tab w:val="left" w:pos="720"/>
        </w:tabs>
        <w:autoSpaceDE w:val="0"/>
        <w:spacing w:before="120" w:after="57"/>
        <w:jc w:val="both"/>
        <w:rPr>
          <w:rFonts w:eastAsia="Calibri" w:cs="Arial"/>
          <w:bCs/>
          <w:szCs w:val="20"/>
        </w:rPr>
      </w:pPr>
      <w:r w:rsidRPr="006F10E4">
        <w:rPr>
          <w:rFonts w:eastAsia="Calibri" w:cs="Arial"/>
          <w:b/>
          <w:bCs/>
          <w:szCs w:val="20"/>
        </w:rPr>
        <w:t>Technické specifikace</w:t>
      </w:r>
      <w:r>
        <w:rPr>
          <w:rFonts w:eastAsia="Calibri" w:cs="Arial"/>
          <w:bCs/>
          <w:szCs w:val="20"/>
        </w:rPr>
        <w:t xml:space="preserve"> prací, výrobků a materiálů budou vyhotoveny a zadavateli předány v elektronické podobě ve formátu DOC nebo XLS a PDF.</w:t>
      </w:r>
    </w:p>
    <w:p w:rsidR="001B1534" w:rsidRPr="001177A5" w:rsidRDefault="001177A5" w:rsidP="001177A5">
      <w:pPr>
        <w:pStyle w:val="Standard"/>
        <w:tabs>
          <w:tab w:val="left" w:pos="720"/>
        </w:tabs>
        <w:autoSpaceDE w:val="0"/>
        <w:spacing w:before="57" w:after="240"/>
        <w:jc w:val="both"/>
        <w:rPr>
          <w:rFonts w:eastAsia="Calibri" w:cs="Calibri"/>
          <w:color w:val="000000"/>
          <w:szCs w:val="20"/>
        </w:rPr>
      </w:pPr>
      <w:r w:rsidRPr="001177A5">
        <w:rPr>
          <w:rFonts w:eastAsia="Calibri" w:cs="Arial"/>
          <w:bCs/>
          <w:szCs w:val="20"/>
        </w:rPr>
        <w:t>Projektová dokumentace bude ve všech fázích projednávána se zadavatelem min 1x za 14 dnů elektronicky. Z každého projednání bude vyhotoven zápis, který bude schválen oběma stranami a bude nedílnou součástí dokladové části dokumentace. Uchazeč poskytne na hotové dílo záruku v délce minimálně 24 měsíců od protokolárního předání. Záruka se bude vztahovat především na bezvadnost díla, zejména na kompletnost a splnění podmínek dle platných předpisů, soulad s technickými normami a zapracování požadavků stavebního úřadu a dotčených orgánů státní správy</w:t>
      </w:r>
      <w:r w:rsidR="00023B2A" w:rsidRPr="001177A5">
        <w:rPr>
          <w:rFonts w:eastAsia="Calibri" w:cs="Arial"/>
          <w:bCs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F27BB4" w:rsidRDefault="00F27BB4" w:rsidP="00FB1AFA">
      <w:pPr>
        <w:pStyle w:val="Standard"/>
        <w:autoSpaceDE w:val="0"/>
        <w:spacing w:before="57" w:after="57"/>
        <w:rPr>
          <w:szCs w:val="20"/>
        </w:rPr>
      </w:pPr>
      <w:r>
        <w:rPr>
          <w:szCs w:val="20"/>
        </w:rPr>
        <w:t>Odevzdání dokumentace proběhne následně:</w:t>
      </w:r>
    </w:p>
    <w:p w:rsidR="0060511C" w:rsidRDefault="0060511C" w:rsidP="0060511C">
      <w:pPr>
        <w:pStyle w:val="Standard"/>
        <w:numPr>
          <w:ilvl w:val="0"/>
          <w:numId w:val="27"/>
        </w:numPr>
        <w:autoSpaceDE w:val="0"/>
        <w:spacing w:after="57"/>
        <w:rPr>
          <w:szCs w:val="20"/>
        </w:rPr>
      </w:pPr>
      <w:r>
        <w:rPr>
          <w:szCs w:val="20"/>
        </w:rPr>
        <w:t xml:space="preserve">Prvotní náhled dokumentace včetně prvotního výkazu výměr a technické specifikace </w:t>
      </w:r>
      <w:r>
        <w:rPr>
          <w:b/>
          <w:szCs w:val="20"/>
        </w:rPr>
        <w:t>do 31. 5</w:t>
      </w:r>
      <w:r w:rsidRPr="005B43E1">
        <w:rPr>
          <w:b/>
          <w:szCs w:val="20"/>
        </w:rPr>
        <w:t>. 20</w:t>
      </w:r>
      <w:r>
        <w:rPr>
          <w:b/>
          <w:szCs w:val="20"/>
        </w:rPr>
        <w:t>20,</w:t>
      </w:r>
    </w:p>
    <w:p w:rsidR="00023B2A" w:rsidRPr="00F27BB4" w:rsidRDefault="0060511C" w:rsidP="0060511C">
      <w:pPr>
        <w:pStyle w:val="Standard"/>
        <w:numPr>
          <w:ilvl w:val="0"/>
          <w:numId w:val="27"/>
        </w:numPr>
        <w:autoSpaceDE w:val="0"/>
        <w:spacing w:after="240"/>
        <w:jc w:val="both"/>
        <w:rPr>
          <w:szCs w:val="20"/>
        </w:rPr>
      </w:pPr>
      <w:r>
        <w:rPr>
          <w:szCs w:val="20"/>
        </w:rPr>
        <w:t xml:space="preserve">dokumentace k provedení stavby </w:t>
      </w:r>
      <w:r w:rsidRPr="00404B7B">
        <w:rPr>
          <w:b/>
          <w:szCs w:val="20"/>
        </w:rPr>
        <w:t xml:space="preserve">do </w:t>
      </w:r>
      <w:r>
        <w:rPr>
          <w:b/>
          <w:szCs w:val="20"/>
        </w:rPr>
        <w:t>31. 7. 2020</w:t>
      </w:r>
      <w:r w:rsidR="00023B2A" w:rsidRPr="00F27BB4">
        <w:rPr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9B2F57">
        <w:rPr>
          <w:rFonts w:eastAsia="Calibri" w:cs="Calibri"/>
          <w:color w:val="000000"/>
          <w:szCs w:val="20"/>
        </w:rPr>
        <w:t>XLS</w:t>
      </w:r>
      <w:r>
        <w:rPr>
          <w:rFonts w:eastAsia="Calibri" w:cs="Calibri"/>
          <w:color w:val="000000"/>
          <w:szCs w:val="20"/>
        </w:rPr>
        <w:t xml:space="preserve"> (003_Kryci_list_vzor.xls), který je součástí zadávací dokumentace.</w:t>
      </w:r>
    </w:p>
    <w:p w:rsidR="001B1534" w:rsidRDefault="00C01DA8" w:rsidP="001B1534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br w:type="page"/>
      </w:r>
      <w:r w:rsidR="001B1534">
        <w:rPr>
          <w:rFonts w:eastAsia="Calibri" w:cs="Calibri"/>
          <w:color w:val="000000"/>
          <w:szCs w:val="20"/>
        </w:rPr>
        <w:lastRenderedPageBreak/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 w:rsidR="001B1534"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 w:rsidR="001B1534"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 w:rsidR="001B1534">
        <w:rPr>
          <w:rFonts w:eastAsia="Calibri" w:cs="Calibri"/>
          <w:color w:val="000000"/>
          <w:szCs w:val="20"/>
        </w:rPr>
        <w:t>(vzor součástí zadávací dokumentace).</w:t>
      </w:r>
    </w:p>
    <w:p w:rsidR="00FB1AFA" w:rsidRDefault="001B1534" w:rsidP="0060599C">
      <w:pPr>
        <w:pStyle w:val="Standard"/>
        <w:spacing w:after="200"/>
        <w:jc w:val="both"/>
      </w:pPr>
      <w:r w:rsidRPr="00B81463">
        <w:rPr>
          <w:b/>
        </w:rPr>
        <w:t xml:space="preserve">Nabídková cena </w:t>
      </w:r>
      <w:r w:rsidR="004C6F86" w:rsidRPr="00B81463">
        <w:rPr>
          <w:b/>
        </w:rPr>
        <w:t>bez DPH</w:t>
      </w:r>
      <w:r w:rsidR="004C6F86">
        <w:t xml:space="preserve"> </w:t>
      </w:r>
      <w:r>
        <w:t>je předmětem hodnocení.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FB1AFA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2E4618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1B1534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Základní kvalifikační předpoklady uchazeč doloží předložením čestného prohlášení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Pr="00F27BB4" w:rsidRDefault="00F27BB4" w:rsidP="00F27BB4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 w:rsidRPr="00F27BB4">
        <w:rPr>
          <w:rFonts w:eastAsia="ArialMT, 'Times New Roman'" w:cs="Arial"/>
          <w:szCs w:val="20"/>
        </w:rPr>
        <w:t xml:space="preserve">Uchazeč splní profesní kvalifikační předpoklady předložením </w:t>
      </w:r>
      <w:r w:rsidRPr="00F27BB4">
        <w:rPr>
          <w:rFonts w:eastAsia="ArialMT, 'Times New Roman'" w:cs="Arial"/>
          <w:b/>
          <w:szCs w:val="20"/>
        </w:rPr>
        <w:t>osvědčení o autorizaci</w:t>
      </w:r>
      <w:r w:rsidRPr="00F27BB4">
        <w:rPr>
          <w:rFonts w:eastAsia="ArialMT, 'Times New Roman'" w:cs="Arial"/>
          <w:szCs w:val="20"/>
        </w:rPr>
        <w:t xml:space="preserve"> podle </w:t>
      </w:r>
      <w:r w:rsidR="00FB1AFA" w:rsidRPr="00F27BB4">
        <w:rPr>
          <w:rFonts w:eastAsia="ArialMT, 'Times New Roman'" w:cs="Arial"/>
          <w:szCs w:val="20"/>
        </w:rPr>
        <w:t xml:space="preserve">§5 odst. 3 písm. </w:t>
      </w:r>
      <w:r w:rsidR="00FB1AFA">
        <w:rPr>
          <w:rFonts w:eastAsia="ArialMT, 'Times New Roman'" w:cs="Arial"/>
          <w:szCs w:val="20"/>
        </w:rPr>
        <w:t>b</w:t>
      </w:r>
      <w:r w:rsidR="00FB1AFA" w:rsidRPr="00F27BB4">
        <w:rPr>
          <w:rFonts w:eastAsia="ArialMT, 'Times New Roman'" w:cs="Arial"/>
          <w:szCs w:val="20"/>
        </w:rPr>
        <w:t>)</w:t>
      </w:r>
      <w:r w:rsidR="00FB1AFA">
        <w:rPr>
          <w:rFonts w:eastAsia="ArialMT, 'Times New Roman'" w:cs="Arial"/>
          <w:szCs w:val="20"/>
        </w:rPr>
        <w:t xml:space="preserve"> </w:t>
      </w:r>
      <w:r w:rsidRPr="00F27BB4">
        <w:rPr>
          <w:rFonts w:eastAsia="ArialMT, 'Times New Roman'" w:cs="Arial"/>
          <w:szCs w:val="20"/>
        </w:rPr>
        <w:t>zákona č. 360/1992 Sb., o výkonu povolání autorizovaných architektů a o výkonu povolání autorizovaných inženýrů a techniků činných ve výstavbě</w:t>
      </w:r>
      <w:r w:rsidR="00FB1AFA">
        <w:rPr>
          <w:rFonts w:eastAsia="ArialMT, 'Times New Roman'" w:cs="Arial"/>
          <w:szCs w:val="20"/>
        </w:rPr>
        <w:t>,</w:t>
      </w:r>
      <w:r w:rsidRPr="00F27BB4">
        <w:rPr>
          <w:rFonts w:eastAsia="ArialMT, 'Times New Roman'" w:cs="Arial"/>
          <w:szCs w:val="20"/>
        </w:rPr>
        <w:t xml:space="preserve"> ve znění pozdějších předpisů</w:t>
      </w:r>
      <w:r w:rsidR="00FB1AFA">
        <w:rPr>
          <w:rFonts w:eastAsia="ArialMT, 'Times New Roman'" w:cs="Arial"/>
          <w:szCs w:val="20"/>
        </w:rPr>
        <w:t>,</w:t>
      </w:r>
      <w:r w:rsidRPr="00F27BB4">
        <w:rPr>
          <w:rFonts w:eastAsia="ArialMT, 'Times New Roman'" w:cs="Arial"/>
          <w:szCs w:val="20"/>
        </w:rPr>
        <w:t xml:space="preserve"> alespoň u jednoho projektanta s autorizací </w:t>
      </w:r>
      <w:r w:rsidRPr="00965EB5">
        <w:rPr>
          <w:rFonts w:eastAsia="ArialMT, 'Times New Roman'" w:cs="Arial"/>
          <w:b/>
          <w:szCs w:val="20"/>
        </w:rPr>
        <w:t xml:space="preserve">pro </w:t>
      </w:r>
      <w:r w:rsidRPr="00F27BB4">
        <w:rPr>
          <w:rFonts w:eastAsia="ArialMT, 'Times New Roman'" w:cs="Arial"/>
          <w:b/>
          <w:szCs w:val="20"/>
        </w:rPr>
        <w:t>dopravní stavby</w:t>
      </w:r>
      <w:r>
        <w:rPr>
          <w:rFonts w:eastAsia="ArialMT, 'Times New Roman'" w:cs="Arial"/>
          <w:b/>
          <w:szCs w:val="20"/>
        </w:rPr>
        <w:t>.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CF31E3">
        <w:rPr>
          <w:rFonts w:eastAsia="ArialMT, 'Times New Roman'" w:cs="Arial"/>
          <w:szCs w:val="20"/>
        </w:rPr>
        <w:t xml:space="preserve">minimálně </w:t>
      </w:r>
      <w:r w:rsidR="00CF31E3" w:rsidRPr="00CF31E3">
        <w:rPr>
          <w:rFonts w:eastAsia="ArialMT, 'Times New Roman'" w:cs="Arial"/>
          <w:szCs w:val="20"/>
        </w:rPr>
        <w:t>3</w:t>
      </w:r>
      <w:r w:rsidRPr="00CF31E3">
        <w:rPr>
          <w:rFonts w:eastAsia="ArialMT, 'Times New Roman'" w:cs="Arial"/>
          <w:szCs w:val="20"/>
        </w:rPr>
        <w:t> zakázek obdobného charakteru</w:t>
      </w:r>
      <w:r w:rsidR="00F27BB4">
        <w:rPr>
          <w:rFonts w:eastAsia="ArialMT, 'Times New Roman'" w:cs="Arial"/>
          <w:szCs w:val="20"/>
        </w:rPr>
        <w:t xml:space="preserve"> a rozsahu</w:t>
      </w:r>
      <w:r w:rsidR="0060599C">
        <w:rPr>
          <w:rFonts w:eastAsia="ArialMT, 'Times New Roman'" w:cs="Arial"/>
          <w:szCs w:val="20"/>
        </w:rPr>
        <w:t xml:space="preserve">, </w:t>
      </w:r>
      <w:r w:rsidRPr="00CF31E3">
        <w:rPr>
          <w:rFonts w:eastAsia="ArialMT, 'Times New Roman'" w:cs="Arial"/>
          <w:szCs w:val="20"/>
        </w:rPr>
        <w:t xml:space="preserve">které uchazeč </w:t>
      </w:r>
      <w:r w:rsidR="00AA7610">
        <w:rPr>
          <w:rFonts w:eastAsia="ArialMT, 'Times New Roman'" w:cs="Arial"/>
          <w:szCs w:val="20"/>
        </w:rPr>
        <w:t xml:space="preserve">zpracoval </w:t>
      </w:r>
      <w:r w:rsidRPr="00CF31E3">
        <w:rPr>
          <w:rFonts w:eastAsia="ArialMT, 'Times New Roman'" w:cs="Arial"/>
          <w:szCs w:val="20"/>
        </w:rPr>
        <w:t>v</w:t>
      </w:r>
      <w:r w:rsidR="0060599C">
        <w:rPr>
          <w:rFonts w:eastAsia="ArialMT, 'Times New Roman'" w:cs="Arial"/>
          <w:szCs w:val="20"/>
        </w:rPr>
        <w:t> </w:t>
      </w:r>
      <w:r w:rsidRPr="00CF31E3">
        <w:rPr>
          <w:rFonts w:eastAsia="ArialMT, 'Times New Roman'" w:cs="Arial"/>
          <w:szCs w:val="20"/>
        </w:rPr>
        <w:t>průběhu posledních 5 let.</w:t>
      </w:r>
      <w:r>
        <w:rPr>
          <w:rFonts w:eastAsia="ArialMT, 'Times New Roman'" w:cs="Arial"/>
          <w:szCs w:val="20"/>
        </w:rPr>
        <w:t xml:space="preserve"> Tyto příklady musí </w:t>
      </w:r>
      <w:r>
        <w:rPr>
          <w:rFonts w:eastAsia="ArialMT, 'Times New Roman'" w:cs="Arial"/>
          <w:szCs w:val="20"/>
        </w:rPr>
        <w:lastRenderedPageBreak/>
        <w:t>obsahovat údaje o objednateli, kontaktní osobu objednatele, která může podat reference, údaje o ceně, do</w:t>
      </w:r>
      <w:r w:rsidR="00AA7610">
        <w:rPr>
          <w:rFonts w:eastAsia="ArialMT, 'Times New Roman'" w:cs="Arial"/>
          <w:szCs w:val="20"/>
        </w:rPr>
        <w:t>bě a místu provádění prací. Pro </w:t>
      </w:r>
      <w:r>
        <w:rPr>
          <w:rFonts w:eastAsia="ArialMT, 'Times New Roman'" w:cs="Arial"/>
          <w:szCs w:val="20"/>
        </w:rPr>
        <w:t>sestavení seznamu uchazeč závazně použije vzor, který je součá</w:t>
      </w:r>
      <w:r>
        <w:t>stí zadávací dokumentace (005_TKP_reference_vzor.xls).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555EED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67C25">
        <w:rPr>
          <w:rFonts w:eastAsia="ArialMT, 'Times New Roman'" w:cs="Arial"/>
          <w:szCs w:val="20"/>
        </w:rPr>
        <w:t>doc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4B1D26">
      <w:pPr>
        <w:pStyle w:val="Standard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7C5DEA" w:rsidRDefault="007C5DEA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137/2006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veřejných zakázkách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1B1534" w:rsidRPr="00CF474E" w:rsidRDefault="001B1534" w:rsidP="004B1D26">
      <w:pPr>
        <w:pStyle w:val="Standard"/>
        <w:spacing w:before="57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</w:t>
      </w:r>
      <w:r w:rsidRPr="00FB1AFA">
        <w:rPr>
          <w:rFonts w:eastAsia="Calibri" w:cs="Calibri"/>
          <w:b/>
          <w:szCs w:val="20"/>
        </w:rPr>
        <w:t>výše</w:t>
      </w:r>
      <w:r w:rsidRPr="00555EED">
        <w:rPr>
          <w:rFonts w:eastAsia="Calibri" w:cs="Calibri"/>
          <w:b/>
          <w:szCs w:val="20"/>
        </w:rPr>
        <w:t xml:space="preserve"> nabídkové ceny </w:t>
      </w:r>
      <w:r w:rsidR="00FB1AFA">
        <w:rPr>
          <w:rFonts w:eastAsia="Calibri" w:cs="Calibri"/>
          <w:b/>
          <w:szCs w:val="20"/>
        </w:rPr>
        <w:t>bez</w:t>
      </w:r>
      <w:r w:rsidRPr="00555EED">
        <w:rPr>
          <w:rFonts w:eastAsia="Calibri" w:cs="Calibri"/>
          <w:b/>
          <w:szCs w:val="20"/>
        </w:rPr>
        <w:t xml:space="preserve">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p w:rsidR="001B1534" w:rsidRDefault="001B1534" w:rsidP="004B1D26">
      <w:pPr>
        <w:pStyle w:val="Standard"/>
        <w:ind w:left="350" w:hanging="36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14D75" w:rsidRDefault="00CF474E" w:rsidP="00CF474E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555EED">
        <w:rPr>
          <w:rFonts w:eastAsia="Arial" w:cs="Arial"/>
          <w:b/>
          <w:bCs/>
          <w:sz w:val="22"/>
          <w:szCs w:val="22"/>
        </w:rPr>
        <w:t>201</w:t>
      </w:r>
      <w:r w:rsidR="001177A5">
        <w:rPr>
          <w:rFonts w:eastAsia="Arial" w:cs="Arial"/>
          <w:b/>
          <w:bCs/>
          <w:sz w:val="22"/>
          <w:szCs w:val="22"/>
        </w:rPr>
        <w:t>9</w:t>
      </w:r>
      <w:r>
        <w:rPr>
          <w:rFonts w:eastAsia="Arial" w:cs="Arial"/>
          <w:b/>
          <w:bCs/>
          <w:sz w:val="22"/>
          <w:szCs w:val="22"/>
        </w:rPr>
        <w:t>00</w:t>
      </w:r>
      <w:r w:rsidR="001177A5">
        <w:rPr>
          <w:rFonts w:eastAsia="Arial" w:cs="Arial"/>
          <w:b/>
          <w:bCs/>
          <w:sz w:val="22"/>
          <w:szCs w:val="22"/>
        </w:rPr>
        <w:t>5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555EED">
        <w:rPr>
          <w:rFonts w:cs="Arial"/>
          <w:b/>
          <w:bCs/>
          <w:sz w:val="22"/>
          <w:szCs w:val="22"/>
        </w:rPr>
        <w:t xml:space="preserve">Zpracování projektové dokumentace </w:t>
      </w:r>
    </w:p>
    <w:p w:rsidR="00CF474E" w:rsidRDefault="001177A5" w:rsidP="00CF474E">
      <w:pPr>
        <w:pStyle w:val="Standard"/>
        <w:jc w:val="center"/>
        <w:rPr>
          <w:sz w:val="22"/>
          <w:szCs w:val="22"/>
        </w:rPr>
      </w:pPr>
      <w:r w:rsidRPr="001177A5">
        <w:rPr>
          <w:rFonts w:cs="Arial"/>
          <w:b/>
          <w:bCs/>
          <w:sz w:val="22"/>
          <w:szCs w:val="22"/>
        </w:rPr>
        <w:t>k revitalizaci (rekonstrukci) cest na Tomášovy vrchy a na Prdek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2E4618" w:rsidRDefault="002E4618" w:rsidP="00CF474E">
      <w:pPr>
        <w:pStyle w:val="Standard"/>
        <w:jc w:val="both"/>
        <w:rPr>
          <w:rFonts w:eastAsia="Calibri" w:cs="Calibri"/>
          <w:b/>
          <w:bCs/>
          <w:szCs w:val="20"/>
        </w:rPr>
      </w:pPr>
    </w:p>
    <w:p w:rsidR="001B1534" w:rsidRDefault="001B1534" w:rsidP="00CF474E">
      <w:pPr>
        <w:pStyle w:val="Standard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v </w:t>
      </w:r>
      <w:r w:rsidR="0060511C">
        <w:rPr>
          <w:rFonts w:eastAsia="Calibri" w:cs="Calibri"/>
          <w:b/>
          <w:bCs/>
          <w:szCs w:val="20"/>
        </w:rPr>
        <w:t>pondělí</w:t>
      </w:r>
      <w:r>
        <w:rPr>
          <w:rFonts w:eastAsia="Calibri" w:cs="Calibri"/>
          <w:b/>
          <w:bCs/>
          <w:szCs w:val="20"/>
        </w:rPr>
        <w:t xml:space="preserve"> </w:t>
      </w:r>
      <w:r w:rsidR="0060511C">
        <w:rPr>
          <w:rFonts w:eastAsia="Calibri" w:cs="Calibri"/>
          <w:b/>
          <w:bCs/>
          <w:szCs w:val="20"/>
        </w:rPr>
        <w:t>27</w:t>
      </w:r>
      <w:r>
        <w:rPr>
          <w:rFonts w:eastAsia="Calibri" w:cs="Calibri"/>
          <w:b/>
          <w:bCs/>
          <w:szCs w:val="20"/>
        </w:rPr>
        <w:t xml:space="preserve">. </w:t>
      </w:r>
      <w:r w:rsidR="001177A5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>. 20</w:t>
      </w:r>
      <w:r w:rsidR="0060511C">
        <w:rPr>
          <w:rFonts w:eastAsia="Calibri" w:cs="Calibri"/>
          <w:b/>
          <w:bCs/>
          <w:szCs w:val="20"/>
        </w:rPr>
        <w:t>20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914D75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555EED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55EED">
      <w:pPr>
        <w:pStyle w:val="Standard"/>
        <w:spacing w:before="120" w:after="20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55EED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CF474E" w:rsidRDefault="004460F6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4E3182">
        <w:rPr>
          <w:noProof/>
          <w:lang w:eastAsia="cs-CZ" w:bidi="ar-SA"/>
        </w:rPr>
        <w:drawing>
          <wp:inline distT="0" distB="0" distL="0" distR="0">
            <wp:extent cx="1419225" cy="10191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A517C3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A517C3">
              <w:rPr>
                <w:szCs w:val="20"/>
              </w:rPr>
              <w:fldChar w:fldCharType="separate"/>
            </w:r>
            <w:r w:rsidR="0060511C">
              <w:rPr>
                <w:noProof/>
                <w:szCs w:val="20"/>
              </w:rPr>
              <w:t>10. 1. 2020</w:t>
            </w:r>
            <w:r w:rsidR="00A517C3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sectPr w:rsidR="008E11EB" w:rsidRPr="008E11EB" w:rsidSect="006E371D">
      <w:headerReference w:type="default" r:id="rId9"/>
      <w:footerReference w:type="default" r:id="rId10"/>
      <w:pgSz w:w="11906" w:h="16838"/>
      <w:pgMar w:top="2552" w:right="1134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17" w:rsidRDefault="008E4017">
      <w:r>
        <w:separator/>
      </w:r>
    </w:p>
  </w:endnote>
  <w:endnote w:type="continuationSeparator" w:id="0">
    <w:p w:rsidR="008E4017" w:rsidRDefault="008E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A8" w:rsidRDefault="0060511C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C01DA8" w:rsidRDefault="00C01DA8">
    <w:pPr>
      <w:pStyle w:val="Standard"/>
      <w:jc w:val="center"/>
      <w:rPr>
        <w:rFonts w:cs="Arial"/>
        <w:sz w:val="12"/>
        <w:szCs w:val="12"/>
      </w:rPr>
    </w:pPr>
  </w:p>
  <w:p w:rsidR="00C01DA8" w:rsidRDefault="00C01DA8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C01DA8" w:rsidRDefault="00C01DA8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C01DA8" w:rsidRDefault="00C01DA8">
    <w:pPr>
      <w:pStyle w:val="Standard"/>
      <w:jc w:val="center"/>
    </w:pPr>
  </w:p>
  <w:p w:rsidR="00C01DA8" w:rsidRDefault="00C01DA8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60511C">
      <w:rPr>
        <w:rStyle w:val="Internetlink"/>
        <w:rFonts w:cs="Arial"/>
        <w:noProof/>
        <w:color w:val="000000"/>
        <w:sz w:val="16"/>
        <w:szCs w:val="16"/>
        <w:u w:val="none"/>
      </w:rPr>
      <w:t>1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60511C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17" w:rsidRDefault="008E4017">
      <w:r>
        <w:rPr>
          <w:color w:val="000000"/>
        </w:rPr>
        <w:separator/>
      </w:r>
    </w:p>
  </w:footnote>
  <w:footnote w:type="continuationSeparator" w:id="0">
    <w:p w:rsidR="008E4017" w:rsidRDefault="008E4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C01DA8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C01DA8" w:rsidRDefault="004E3182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1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01DA8" w:rsidRDefault="00C01DA8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C01DA8" w:rsidRDefault="00C01DA8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C01DA8" w:rsidRDefault="00C01DA8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C01DA8" w:rsidRDefault="00C01DA8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C01DA8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C01DA8" w:rsidRDefault="0060511C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C01DA8" w:rsidRDefault="00C01DA8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2D2B12F6"/>
    <w:multiLevelType w:val="hybridMultilevel"/>
    <w:tmpl w:val="9E7EBB94"/>
    <w:lvl w:ilvl="0" w:tplc="66CE467E"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C3CDD"/>
    <w:multiLevelType w:val="hybridMultilevel"/>
    <w:tmpl w:val="2D70A0BA"/>
    <w:lvl w:ilvl="0" w:tplc="6C40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8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4284E10"/>
    <w:multiLevelType w:val="multilevel"/>
    <w:tmpl w:val="F7B4706A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7850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6">
    <w:nsid w:val="6FD03ECA"/>
    <w:multiLevelType w:val="hybridMultilevel"/>
    <w:tmpl w:val="FE70DAD6"/>
    <w:lvl w:ilvl="0" w:tplc="C312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8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9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8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0"/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</w:num>
  <w:num w:numId="19">
    <w:abstractNumId w:val="10"/>
  </w:num>
  <w:num w:numId="20">
    <w:abstractNumId w:val="13"/>
  </w:num>
  <w:num w:numId="21">
    <w:abstractNumId w:val="11"/>
  </w:num>
  <w:num w:numId="22">
    <w:abstractNumId w:val="19"/>
  </w:num>
  <w:num w:numId="23">
    <w:abstractNumId w:val="15"/>
  </w:num>
  <w:num w:numId="24">
    <w:abstractNumId w:val="18"/>
  </w:num>
  <w:num w:numId="25">
    <w:abstractNumId w:val="6"/>
  </w:num>
  <w:num w:numId="26">
    <w:abstractNumId w:val="14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23B2A"/>
    <w:rsid w:val="000646CB"/>
    <w:rsid w:val="00064709"/>
    <w:rsid w:val="000925B2"/>
    <w:rsid w:val="000B6590"/>
    <w:rsid w:val="001176FE"/>
    <w:rsid w:val="001177A5"/>
    <w:rsid w:val="001B1534"/>
    <w:rsid w:val="001B1923"/>
    <w:rsid w:val="001B669C"/>
    <w:rsid w:val="0020093B"/>
    <w:rsid w:val="002171CB"/>
    <w:rsid w:val="00242912"/>
    <w:rsid w:val="002A04E6"/>
    <w:rsid w:val="002D1228"/>
    <w:rsid w:val="002E4618"/>
    <w:rsid w:val="0033092C"/>
    <w:rsid w:val="003907DE"/>
    <w:rsid w:val="004460F6"/>
    <w:rsid w:val="0046390B"/>
    <w:rsid w:val="00492EE3"/>
    <w:rsid w:val="004A7FC8"/>
    <w:rsid w:val="004B1D26"/>
    <w:rsid w:val="004C6F86"/>
    <w:rsid w:val="004D2149"/>
    <w:rsid w:val="004E3182"/>
    <w:rsid w:val="004E617A"/>
    <w:rsid w:val="004F3F76"/>
    <w:rsid w:val="00506C0D"/>
    <w:rsid w:val="00522FB1"/>
    <w:rsid w:val="00555EED"/>
    <w:rsid w:val="00567C25"/>
    <w:rsid w:val="00577ED9"/>
    <w:rsid w:val="00584B5F"/>
    <w:rsid w:val="005C609F"/>
    <w:rsid w:val="005E2331"/>
    <w:rsid w:val="005E5329"/>
    <w:rsid w:val="0060511C"/>
    <w:rsid w:val="0060599C"/>
    <w:rsid w:val="00646D6A"/>
    <w:rsid w:val="00680E81"/>
    <w:rsid w:val="006E371D"/>
    <w:rsid w:val="006F18CA"/>
    <w:rsid w:val="006F3948"/>
    <w:rsid w:val="006F7BEA"/>
    <w:rsid w:val="007335D3"/>
    <w:rsid w:val="00770FE0"/>
    <w:rsid w:val="00786228"/>
    <w:rsid w:val="007A6261"/>
    <w:rsid w:val="007A6AAA"/>
    <w:rsid w:val="007B1C3F"/>
    <w:rsid w:val="007C5DEA"/>
    <w:rsid w:val="007F4BA5"/>
    <w:rsid w:val="00807AE7"/>
    <w:rsid w:val="008C7474"/>
    <w:rsid w:val="008E11EB"/>
    <w:rsid w:val="008E4017"/>
    <w:rsid w:val="00914D75"/>
    <w:rsid w:val="00933895"/>
    <w:rsid w:val="00965EB5"/>
    <w:rsid w:val="00996C30"/>
    <w:rsid w:val="009B2F57"/>
    <w:rsid w:val="009C5DCE"/>
    <w:rsid w:val="009D14CD"/>
    <w:rsid w:val="009D5880"/>
    <w:rsid w:val="009E4AAC"/>
    <w:rsid w:val="009F586D"/>
    <w:rsid w:val="00A22CAD"/>
    <w:rsid w:val="00A517C3"/>
    <w:rsid w:val="00A701E3"/>
    <w:rsid w:val="00AA2A6B"/>
    <w:rsid w:val="00AA7610"/>
    <w:rsid w:val="00AD50A8"/>
    <w:rsid w:val="00B246E7"/>
    <w:rsid w:val="00B57DCC"/>
    <w:rsid w:val="00B81463"/>
    <w:rsid w:val="00B84BFF"/>
    <w:rsid w:val="00BC6417"/>
    <w:rsid w:val="00C0116D"/>
    <w:rsid w:val="00C01DA8"/>
    <w:rsid w:val="00C1352C"/>
    <w:rsid w:val="00C4384B"/>
    <w:rsid w:val="00C67FE4"/>
    <w:rsid w:val="00C84848"/>
    <w:rsid w:val="00C8652D"/>
    <w:rsid w:val="00C971CD"/>
    <w:rsid w:val="00CA548C"/>
    <w:rsid w:val="00CA5987"/>
    <w:rsid w:val="00CD5413"/>
    <w:rsid w:val="00CE28CF"/>
    <w:rsid w:val="00CF31E3"/>
    <w:rsid w:val="00CF474E"/>
    <w:rsid w:val="00D115E6"/>
    <w:rsid w:val="00D50356"/>
    <w:rsid w:val="00DC7EEA"/>
    <w:rsid w:val="00DF2A9E"/>
    <w:rsid w:val="00E161AB"/>
    <w:rsid w:val="00E21999"/>
    <w:rsid w:val="00E51848"/>
    <w:rsid w:val="00EB3ECB"/>
    <w:rsid w:val="00ED5FA2"/>
    <w:rsid w:val="00EF292A"/>
    <w:rsid w:val="00F20E42"/>
    <w:rsid w:val="00F27BB4"/>
    <w:rsid w:val="00F411B0"/>
    <w:rsid w:val="00F47CD4"/>
    <w:rsid w:val="00F6056E"/>
    <w:rsid w:val="00F629D2"/>
    <w:rsid w:val="00F70C82"/>
    <w:rsid w:val="00F82229"/>
    <w:rsid w:val="00FB1AFA"/>
    <w:rsid w:val="00FE19BF"/>
    <w:rsid w:val="00FF373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1832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4</cp:revision>
  <cp:lastPrinted>2019-11-22T13:26:00Z</cp:lastPrinted>
  <dcterms:created xsi:type="dcterms:W3CDTF">2019-11-22T11:44:00Z</dcterms:created>
  <dcterms:modified xsi:type="dcterms:W3CDTF">2020-01-10T08:29:00Z</dcterms:modified>
</cp:coreProperties>
</file>