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B33D57">
            <w:pPr>
              <w:ind w:left="-13"/>
              <w:jc w:val="both"/>
            </w:pPr>
            <w:r>
              <w:rPr>
                <w:rFonts w:eastAsia="Calibri" w:cs="Calibri"/>
                <w:sz w:val="24"/>
              </w:rPr>
              <w:t xml:space="preserve">Mgr. Lucií </w:t>
            </w:r>
            <w:r w:rsidR="00790F07">
              <w:rPr>
                <w:rFonts w:eastAsia="Calibri" w:cs="Calibri"/>
                <w:sz w:val="24"/>
              </w:rPr>
              <w:t xml:space="preserve">Vaverkovou </w:t>
            </w:r>
            <w:r>
              <w:rPr>
                <w:rFonts w:eastAsia="Calibri" w:cs="Calibri"/>
                <w:sz w:val="24"/>
              </w:rPr>
              <w:t>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971008">
              <w:rPr>
                <w:rFonts w:eastAsia="Calibri" w:cs="Calibri"/>
                <w:sz w:val="24"/>
              </w:rPr>
              <w:t xml:space="preserve"> / DIČ</w:t>
            </w:r>
            <w:r>
              <w:rPr>
                <w:rFonts w:eastAsia="Calibri" w:cs="Calibri"/>
                <w:sz w:val="24"/>
              </w:rPr>
              <w:t>:</w:t>
            </w:r>
          </w:p>
        </w:tc>
        <w:tc>
          <w:tcPr>
            <w:tcW w:w="7868" w:type="dxa"/>
            <w:shd w:val="clear" w:color="auto" w:fill="auto"/>
          </w:tcPr>
          <w:p w:rsidR="00AA7600" w:rsidRDefault="00B33D57" w:rsidP="00B33D57">
            <w:pPr>
              <w:ind w:left="-13"/>
              <w:jc w:val="both"/>
            </w:pPr>
            <w:r>
              <w:rPr>
                <w:rFonts w:eastAsia="Calibri" w:cs="Calibri"/>
                <w:sz w:val="24"/>
              </w:rPr>
              <w:t>00276294</w:t>
            </w:r>
            <w:r w:rsidR="00971008">
              <w:rPr>
                <w:rFonts w:eastAsia="Calibri" w:cs="Calibri"/>
                <w:sz w:val="24"/>
              </w:rPr>
              <w:t xml:space="preserve"> / CZ00276294</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971008">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971008">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971008">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971008">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971008">
      <w:pPr>
        <w:numPr>
          <w:ilvl w:val="1"/>
          <w:numId w:val="1"/>
        </w:numPr>
        <w:autoSpaceDE w:val="0"/>
        <w:spacing w:before="57" w:after="57"/>
        <w:ind w:left="567" w:hanging="567"/>
        <w:jc w:val="both"/>
        <w:rPr>
          <w:rFonts w:eastAsia="Calibri" w:cs="Calibri"/>
          <w:szCs w:val="20"/>
        </w:rPr>
      </w:pPr>
      <w:r>
        <w:rPr>
          <w:rFonts w:eastAsia="Calibri" w:cs="Calibri"/>
          <w:szCs w:val="20"/>
        </w:rPr>
        <w:t xml:space="preserve">Zhotovitel prohlašuje, že je oprávněn provést </w:t>
      </w:r>
      <w:r w:rsidR="004A16D3">
        <w:rPr>
          <w:rFonts w:eastAsia="Calibri" w:cs="Calibri"/>
          <w:szCs w:val="20"/>
        </w:rPr>
        <w:t>zakázku</w:t>
      </w:r>
      <w:r>
        <w:rPr>
          <w:rFonts w:eastAsia="Calibri" w:cs="Calibri"/>
          <w:szCs w:val="20"/>
        </w:rPr>
        <w:t xml:space="preserve"> tak, jak je níže specifikováno a dále, že disponuje takovými materiálními prostředky a profesemi, že je schopen provést dílo řádně a v dohodnutém termínu.</w:t>
      </w:r>
    </w:p>
    <w:p w:rsidR="00AA7600" w:rsidRDefault="00AA7600" w:rsidP="00B8162B">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790F07" w:rsidRPr="00523B3B" w:rsidRDefault="00AA7600" w:rsidP="00790F07">
      <w:pPr>
        <w:pStyle w:val="Standard"/>
        <w:spacing w:after="57"/>
        <w:ind w:left="352" w:hanging="363"/>
        <w:jc w:val="both"/>
        <w:rPr>
          <w:rFonts w:cs="Arial"/>
          <w:b/>
          <w:bCs/>
          <w:szCs w:val="20"/>
        </w:rPr>
      </w:pPr>
      <w:r w:rsidRPr="00D74D52">
        <w:rPr>
          <w:rFonts w:eastAsia="Calibri" w:cs="Calibri"/>
          <w:szCs w:val="20"/>
        </w:rPr>
        <w:t>Zhotovitel</w:t>
      </w:r>
      <w:r>
        <w:rPr>
          <w:rFonts w:eastAsia="Calibri" w:cs="Calibri"/>
          <w:szCs w:val="20"/>
        </w:rPr>
        <w:t xml:space="preserve"> se zavazuje pro objednatele zhotovit </w:t>
      </w:r>
      <w:r w:rsidR="00B8162B">
        <w:rPr>
          <w:rFonts w:eastAsia="Calibri" w:cs="Calibri"/>
          <w:szCs w:val="20"/>
        </w:rPr>
        <w:t>zakázku</w:t>
      </w:r>
      <w:r>
        <w:rPr>
          <w:rFonts w:eastAsia="Calibri" w:cs="Calibri"/>
          <w:szCs w:val="20"/>
        </w:rPr>
        <w:t xml:space="preserve"> s názvem </w:t>
      </w:r>
      <w:r w:rsidR="00790F07" w:rsidRPr="00523B3B">
        <w:rPr>
          <w:rFonts w:cs="Arial"/>
          <w:b/>
          <w:bCs/>
          <w:szCs w:val="20"/>
        </w:rPr>
        <w:t>Zpracování projektové dokumentace k</w:t>
      </w:r>
      <w:r w:rsidR="00790F07">
        <w:rPr>
          <w:rFonts w:cs="Arial"/>
          <w:b/>
          <w:bCs/>
          <w:szCs w:val="20"/>
        </w:rPr>
        <w:t> revitalizaci (rekonstrukci) cest na Tomášovy vrchy a na Prdek.</w:t>
      </w:r>
    </w:p>
    <w:p w:rsidR="00790F07" w:rsidRDefault="00790F07" w:rsidP="00790F07">
      <w:pPr>
        <w:pStyle w:val="Standard"/>
        <w:spacing w:after="57"/>
        <w:jc w:val="both"/>
        <w:rPr>
          <w:rFonts w:eastAsia="Calibri" w:cs="Arial"/>
          <w:bCs/>
          <w:szCs w:val="20"/>
        </w:rPr>
      </w:pPr>
      <w:r>
        <w:rPr>
          <w:rFonts w:eastAsia="Calibri" w:cs="Arial"/>
          <w:b/>
          <w:bCs/>
          <w:szCs w:val="20"/>
        </w:rPr>
        <w:t xml:space="preserve">Předmětem zakázky je </w:t>
      </w:r>
      <w:r>
        <w:rPr>
          <w:rFonts w:eastAsia="Calibri" w:cs="Arial"/>
          <w:bCs/>
          <w:szCs w:val="20"/>
        </w:rPr>
        <w:t xml:space="preserve">vypracování </w:t>
      </w:r>
      <w:r w:rsidRPr="002E67F6">
        <w:rPr>
          <w:rFonts w:eastAsia="Calibri" w:cs="Arial"/>
          <w:b/>
          <w:bCs/>
          <w:szCs w:val="20"/>
        </w:rPr>
        <w:t xml:space="preserve">projektové dokumentace pro provedení stavby </w:t>
      </w:r>
      <w:r w:rsidRPr="00467DC1">
        <w:rPr>
          <w:rFonts w:eastAsia="Calibri" w:cs="Arial"/>
          <w:bCs/>
          <w:szCs w:val="20"/>
        </w:rPr>
        <w:t>(P</w:t>
      </w:r>
      <w:r>
        <w:rPr>
          <w:rFonts w:eastAsia="Calibri" w:cs="Arial"/>
          <w:bCs/>
          <w:szCs w:val="20"/>
        </w:rPr>
        <w:t xml:space="preserve">DPS) na revitalizaci (rekonstrukci) cest na Tomášovy vrchy a na Prdek včetně odvodnění a revitalizace zeleně podél cest, včetně </w:t>
      </w:r>
      <w:r w:rsidRPr="0005049B">
        <w:rPr>
          <w:rFonts w:eastAsia="Calibri" w:cs="Arial"/>
          <w:b/>
          <w:bCs/>
          <w:szCs w:val="20"/>
        </w:rPr>
        <w:t>výkazu výměr</w:t>
      </w:r>
      <w:r>
        <w:rPr>
          <w:rFonts w:eastAsia="Calibri" w:cs="Arial"/>
          <w:bCs/>
          <w:szCs w:val="20"/>
        </w:rPr>
        <w:t xml:space="preserve"> v úrovni stupně dokumentace pro provedení stavby a oceněného rozpočtu. </w:t>
      </w:r>
      <w:r w:rsidRPr="00467DC1">
        <w:rPr>
          <w:rFonts w:eastAsia="Calibri" w:cs="Arial"/>
          <w:bCs/>
          <w:szCs w:val="20"/>
        </w:rPr>
        <w:t xml:space="preserve">Zadavatel zajistí veškeré </w:t>
      </w:r>
      <w:r w:rsidRPr="00467DC1">
        <w:rPr>
          <w:rFonts w:eastAsia="Calibri" w:cs="Arial"/>
          <w:b/>
          <w:bCs/>
          <w:szCs w:val="20"/>
        </w:rPr>
        <w:t>inženýrské činnosti</w:t>
      </w:r>
      <w:r w:rsidRPr="00467DC1">
        <w:rPr>
          <w:rFonts w:eastAsia="Calibri" w:cs="Arial"/>
          <w:bCs/>
          <w:szCs w:val="20"/>
        </w:rPr>
        <w:t xml:space="preserve"> za účelem získání příslušných správních rozhodnutí. </w:t>
      </w:r>
      <w:r>
        <w:rPr>
          <w:rFonts w:eastAsia="Calibri" w:cs="Arial"/>
          <w:bCs/>
          <w:szCs w:val="20"/>
        </w:rPr>
        <w:t xml:space="preserve">Zpracování PDPS bude řešit rekonstrukci cest v těchto úsecích (oba se nachází v ochranném pásmu Krkonošského národního parku): </w:t>
      </w:r>
    </w:p>
    <w:p w:rsidR="00790F07" w:rsidRDefault="00790F07" w:rsidP="00790F07">
      <w:pPr>
        <w:pStyle w:val="Standard"/>
        <w:numPr>
          <w:ilvl w:val="0"/>
          <w:numId w:val="18"/>
        </w:numPr>
        <w:spacing w:after="57"/>
        <w:jc w:val="both"/>
        <w:rPr>
          <w:rFonts w:eastAsia="Calibri" w:cs="Arial"/>
          <w:bCs/>
          <w:szCs w:val="20"/>
        </w:rPr>
      </w:pPr>
      <w:r>
        <w:rPr>
          <w:rFonts w:eastAsia="Calibri" w:cs="Arial"/>
          <w:bCs/>
          <w:szCs w:val="20"/>
        </w:rPr>
        <w:t>cesta na Tomášovy vrchy je na pozemku ppč. 2502/4 v k. ú. Sklenařice v úseku od č. p. 91 až k pozemku ppč. 2522/1 v k. ú. Sklenařice. Úsek je dlouhý cca 660 m s šířkou cesty 2,8 - 3,0 m.</w:t>
      </w:r>
    </w:p>
    <w:p w:rsidR="00790F07" w:rsidRDefault="00790F07" w:rsidP="00790F07">
      <w:pPr>
        <w:pStyle w:val="Standard"/>
        <w:numPr>
          <w:ilvl w:val="0"/>
          <w:numId w:val="18"/>
        </w:numPr>
        <w:spacing w:after="57"/>
        <w:jc w:val="both"/>
        <w:rPr>
          <w:rFonts w:eastAsia="Calibri" w:cs="Arial"/>
          <w:bCs/>
          <w:szCs w:val="20"/>
        </w:rPr>
      </w:pPr>
      <w:r>
        <w:rPr>
          <w:rFonts w:eastAsia="Calibri" w:cs="Arial"/>
          <w:bCs/>
          <w:szCs w:val="20"/>
        </w:rPr>
        <w:t>cesta na Prdek je na pozemcích  ppč. 2502/5 v k. ú. Sklenařice a 1608 v k. ú. Paseky nad Jizerou v úseku od objektu na pozemcích ppč. 842/2 a 839/2 v k. ú. Sklenařice nad objekt č. p. 222 v Pasekách nad Jizerou na stpč. 256 v k. ú. Paseky nad Jizerou. Úsek je dlouhý cca 650 m dlouhý s šířkou cesty 2,8 – 3,0 m.</w:t>
      </w:r>
    </w:p>
    <w:p w:rsidR="00463890" w:rsidRDefault="00790F07" w:rsidP="00790F07">
      <w:pPr>
        <w:autoSpaceDE w:val="0"/>
        <w:spacing w:before="57" w:after="57"/>
        <w:jc w:val="both"/>
        <w:rPr>
          <w:rFonts w:eastAsia="Calibri" w:cs="Arial"/>
          <w:bCs/>
          <w:szCs w:val="20"/>
        </w:rPr>
      </w:pPr>
      <w:r>
        <w:rPr>
          <w:rFonts w:eastAsia="Calibri" w:cs="Arial"/>
          <w:bCs/>
          <w:szCs w:val="20"/>
        </w:rPr>
        <w:t>Projektová dokumentace bude sloužit jako podklad k vypracování žádosti o dotaci ze Státního fondu životního prostředí</w:t>
      </w:r>
      <w:r w:rsidR="00B8162B">
        <w:rPr>
          <w:rFonts w:eastAsia="Calibri" w:cs="Arial"/>
          <w:bCs/>
          <w:szCs w:val="20"/>
        </w:rPr>
        <w:t xml:space="preserve">. </w:t>
      </w:r>
    </w:p>
    <w:p w:rsidR="00790F07" w:rsidRPr="00C57FE1" w:rsidRDefault="00790F07" w:rsidP="00790F07">
      <w:pPr>
        <w:pStyle w:val="Standard"/>
        <w:numPr>
          <w:ilvl w:val="0"/>
          <w:numId w:val="15"/>
        </w:numPr>
        <w:spacing w:after="57"/>
        <w:jc w:val="both"/>
        <w:rPr>
          <w:rFonts w:eastAsia="Calibri" w:cs="Calibri"/>
          <w:szCs w:val="20"/>
        </w:rPr>
      </w:pPr>
      <w:r w:rsidRPr="0005049B">
        <w:rPr>
          <w:rFonts w:eastAsia="Calibri" w:cs="Arial"/>
          <w:b/>
          <w:szCs w:val="20"/>
        </w:rPr>
        <w:t>Zpracování dokumentace</w:t>
      </w:r>
      <w:r>
        <w:rPr>
          <w:rFonts w:eastAsia="Calibri" w:cs="Arial"/>
          <w:szCs w:val="20"/>
        </w:rPr>
        <w:t xml:space="preserve"> pro provedení stavby (PDPS) budou v souladu se zákonem č. 183/2006 Sb., stavební zákon a budou zpracovány v rozsahu, členění a míře podrobnosti dle vyhlášky č. 503/2006 Sb., vyhlášky č. 499/2006 Sb., vyhlášky č. 146/2008 Sb., vyhlášky č. 398/2009 Sb. a zákona č. 134/2016 Sb., vše v platném znění, v rozsahu </w:t>
      </w:r>
      <w:r>
        <w:rPr>
          <w:rFonts w:eastAsia="Calibri" w:cs="Arial"/>
          <w:szCs w:val="20"/>
        </w:rPr>
        <w:lastRenderedPageBreak/>
        <w:t>dokumentace pro územní rozhodnutí, pro ohlášení či stavební povolení a provádění stavby včetně všech potřebných konstrukčních detailů a jiných částí stavby, které by pro realizaci stavby toto zpřesnění vyžadovaly. Součástí PDPS budou i dopravně inženýrská opatření – DIO.</w:t>
      </w:r>
    </w:p>
    <w:p w:rsidR="00790F07" w:rsidRDefault="00790F07" w:rsidP="00790F07">
      <w:pPr>
        <w:pStyle w:val="Standard"/>
        <w:numPr>
          <w:ilvl w:val="0"/>
          <w:numId w:val="15"/>
        </w:numPr>
        <w:spacing w:after="57"/>
        <w:jc w:val="both"/>
        <w:rPr>
          <w:rFonts w:eastAsia="Calibri" w:cs="Calibri"/>
          <w:szCs w:val="20"/>
        </w:rPr>
      </w:pPr>
      <w:r w:rsidRPr="00B37501">
        <w:rPr>
          <w:rFonts w:eastAsia="Calibri" w:cs="Calibri"/>
          <w:b/>
          <w:szCs w:val="20"/>
        </w:rPr>
        <w:t>Zpracování výkazu výměr</w:t>
      </w:r>
      <w:r>
        <w:rPr>
          <w:rFonts w:eastAsia="Calibri" w:cs="Calibri"/>
          <w:szCs w:val="20"/>
        </w:rPr>
        <w:t xml:space="preserve">, položkového rozpočtu stavby, slepého rozpočtu k výběrovému řízení na zhotovitele stavby a zpracování technické specifikace prací, výrobků a materiálů. Výkaz výměr všech profesí musí být úplný a podrobný, s podrobným a jednoznačným technickým popisem všech použitých materiálů a výrobků, jakož i s přesnou specifikací všech prací a dodávek. Tento výkaz výměr vychází ze stupně podrobnosti řešené projektové dokumentace. Výkaz výměr všech profesí HSV, PSV a montáží bude obsahovat všechna množství veškerých prací a dodávek, které je potřeba udělat pro řádnou a úplnou realizaci stavby dle této projektové dokumentace tak, aby dílo mohlo být realizováno bez víceprací, které by vyplývaly z neúplnosti projektové dokumentace nebo neúplnosti výkazu výměr. Tento požadavek neplatí pro vícepráce, které zhotovitel nemohl předvídat ani při vynaložení náležité odborné péče a pečlivosti. </w:t>
      </w:r>
    </w:p>
    <w:p w:rsidR="00971008" w:rsidRDefault="00790F07" w:rsidP="00790F07">
      <w:pPr>
        <w:pStyle w:val="Standard"/>
        <w:numPr>
          <w:ilvl w:val="0"/>
          <w:numId w:val="15"/>
        </w:numPr>
        <w:spacing w:after="57"/>
        <w:jc w:val="both"/>
        <w:rPr>
          <w:rFonts w:eastAsia="Calibri" w:cs="Calibri"/>
          <w:szCs w:val="20"/>
        </w:rPr>
      </w:pPr>
      <w:r w:rsidRPr="00207FDC">
        <w:rPr>
          <w:rFonts w:eastAsia="Calibri" w:cs="Calibri"/>
          <w:b/>
          <w:szCs w:val="20"/>
        </w:rPr>
        <w:t>Zajištění autorského dozoru</w:t>
      </w:r>
      <w:r>
        <w:rPr>
          <w:rFonts w:eastAsia="Calibri" w:cs="Calibri"/>
          <w:szCs w:val="20"/>
        </w:rPr>
        <w:t xml:space="preserve"> po dobu provádění stavby v rozsahu 10 hodin. Součástí dozoru bude 4x návštěva na stavbě na vyžádání zadavatele a řešení potřebných detailů</w:t>
      </w:r>
      <w:r w:rsidR="00971008">
        <w:rPr>
          <w:rFonts w:eastAsia="Calibri" w:cs="Calibri"/>
          <w:szCs w:val="20"/>
        </w:rPr>
        <w:t>.</w:t>
      </w:r>
    </w:p>
    <w:p w:rsidR="00AA7600" w:rsidRPr="004A16D3" w:rsidRDefault="00AA7600" w:rsidP="004E1CD0">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 xml:space="preserve">Součástí předmětu </w:t>
      </w:r>
      <w:r w:rsidR="00B8162B">
        <w:rPr>
          <w:rStyle w:val="Hypertextovodkaz"/>
          <w:rFonts w:eastAsia="Calibri" w:cs="Calibri"/>
          <w:iCs/>
          <w:color w:val="000000"/>
          <w:szCs w:val="20"/>
          <w:u w:val="none"/>
        </w:rPr>
        <w:t>zakázky</w:t>
      </w:r>
      <w:r>
        <w:rPr>
          <w:rStyle w:val="Hypertextovodkaz"/>
          <w:rFonts w:eastAsia="Calibri" w:cs="Calibri"/>
          <w:iCs/>
          <w:color w:val="000000"/>
          <w:szCs w:val="20"/>
          <w:u w:val="none"/>
        </w:rPr>
        <w:t xml:space="preserve"> jsou veškeré práce a dodávky, činnosti a úkony nutné k řádnému a včasnému provedení díl</w:t>
      </w:r>
      <w:r>
        <w:t>a.</w:t>
      </w:r>
    </w:p>
    <w:p w:rsidR="00AA7600" w:rsidRDefault="00AA7600" w:rsidP="000A630A">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666"/>
        <w:gridCol w:w="4684"/>
      </w:tblGrid>
      <w:tr w:rsidR="00AA7600" w:rsidTr="003774F4">
        <w:trPr>
          <w:trHeight w:val="170"/>
        </w:trPr>
        <w:tc>
          <w:tcPr>
            <w:tcW w:w="4666" w:type="dxa"/>
            <w:shd w:val="clear" w:color="auto" w:fill="auto"/>
          </w:tcPr>
          <w:p w:rsidR="00AA7600" w:rsidRDefault="004A16D3">
            <w:pPr>
              <w:autoSpaceDE w:val="0"/>
              <w:spacing w:before="57" w:after="57"/>
              <w:ind w:left="567" w:hanging="567"/>
              <w:jc w:val="both"/>
              <w:rPr>
                <w:rFonts w:eastAsia="Calibri" w:cs="Arial"/>
                <w:szCs w:val="20"/>
                <w:shd w:val="clear" w:color="auto" w:fill="FFFF99"/>
              </w:rPr>
            </w:pPr>
            <w:r>
              <w:rPr>
                <w:rFonts w:eastAsia="Calibri" w:cs="Calibri"/>
                <w:szCs w:val="20"/>
              </w:rPr>
              <w:t>Začátek zpracování zakázky</w:t>
            </w:r>
            <w:r w:rsidR="00AA7600">
              <w:rPr>
                <w:rFonts w:eastAsia="Calibri" w:cs="Calibri"/>
                <w:szCs w:val="20"/>
              </w:rPr>
              <w:t xml:space="preserve">: </w:t>
            </w:r>
            <w:r w:rsidR="00AA7600">
              <w:rPr>
                <w:rFonts w:eastAsia="Calibri" w:cs="Calibri"/>
                <w:szCs w:val="20"/>
              </w:rPr>
              <w:tab/>
            </w:r>
          </w:p>
        </w:tc>
        <w:tc>
          <w:tcPr>
            <w:tcW w:w="4684" w:type="dxa"/>
            <w:shd w:val="clear" w:color="auto" w:fill="auto"/>
            <w:vAlign w:val="center"/>
          </w:tcPr>
          <w:p w:rsidR="00AA7600" w:rsidRDefault="004A16D3" w:rsidP="00971008">
            <w:pPr>
              <w:pStyle w:val="Obsahtabulky"/>
            </w:pPr>
            <w:r w:rsidRPr="004A16D3">
              <w:rPr>
                <w:rFonts w:eastAsia="Calibri" w:cs="Arial"/>
                <w:b/>
                <w:szCs w:val="20"/>
                <w:shd w:val="clear" w:color="auto" w:fill="FFFF99"/>
              </w:rPr>
              <w:t>po podpisu smlouvy</w:t>
            </w:r>
            <w:r>
              <w:rPr>
                <w:rFonts w:eastAsia="Calibri" w:cs="Arial"/>
                <w:szCs w:val="20"/>
                <w:shd w:val="clear" w:color="auto" w:fill="FFFF99"/>
              </w:rPr>
              <w:t xml:space="preserve"> </w:t>
            </w:r>
            <w:r w:rsidRPr="00B8162B">
              <w:rPr>
                <w:rFonts w:eastAsia="Calibri" w:cs="Arial"/>
                <w:b/>
                <w:szCs w:val="20"/>
                <w:shd w:val="clear" w:color="auto" w:fill="FFFF99"/>
              </w:rPr>
              <w:t>o dílo</w:t>
            </w:r>
          </w:p>
        </w:tc>
      </w:tr>
      <w:tr w:rsidR="00AA7600" w:rsidTr="003774F4">
        <w:tc>
          <w:tcPr>
            <w:tcW w:w="4666" w:type="dxa"/>
            <w:shd w:val="clear" w:color="auto" w:fill="auto"/>
          </w:tcPr>
          <w:p w:rsidR="00AA7600" w:rsidRDefault="004A16D3" w:rsidP="004A16D3">
            <w:pPr>
              <w:autoSpaceDE w:val="0"/>
              <w:spacing w:before="57" w:after="57"/>
              <w:ind w:left="567" w:hanging="567"/>
              <w:jc w:val="both"/>
              <w:rPr>
                <w:rFonts w:eastAsia="Calibri" w:cs="Arial"/>
                <w:szCs w:val="20"/>
                <w:shd w:val="clear" w:color="auto" w:fill="FFFF99"/>
              </w:rPr>
            </w:pPr>
            <w:r>
              <w:rPr>
                <w:rFonts w:eastAsia="Calibri" w:cs="Calibri"/>
                <w:szCs w:val="20"/>
              </w:rPr>
              <w:t>Vyhotovení dokumentací</w:t>
            </w:r>
            <w:r w:rsidR="00AA7600">
              <w:rPr>
                <w:rFonts w:eastAsia="Calibri" w:cs="Calibri"/>
                <w:szCs w:val="20"/>
              </w:rPr>
              <w:t xml:space="preserve"> a je</w:t>
            </w:r>
            <w:r>
              <w:rPr>
                <w:rFonts w:eastAsia="Calibri" w:cs="Calibri"/>
                <w:szCs w:val="20"/>
              </w:rPr>
              <w:t xml:space="preserve">jich </w:t>
            </w:r>
            <w:r w:rsidR="00AA7600">
              <w:rPr>
                <w:rFonts w:eastAsia="Calibri" w:cs="Calibri"/>
                <w:szCs w:val="20"/>
              </w:rPr>
              <w:t>předání objednateli:</w:t>
            </w:r>
          </w:p>
        </w:tc>
        <w:tc>
          <w:tcPr>
            <w:tcW w:w="4684" w:type="dxa"/>
            <w:shd w:val="clear" w:color="auto" w:fill="auto"/>
          </w:tcPr>
          <w:p w:rsidR="00971008" w:rsidRPr="003A473A" w:rsidRDefault="00971008" w:rsidP="00CB055C">
            <w:pPr>
              <w:pStyle w:val="Obsahtabulky"/>
              <w:jc w:val="both"/>
              <w:rPr>
                <w:b/>
              </w:rPr>
            </w:pPr>
          </w:p>
        </w:tc>
      </w:tr>
      <w:tr w:rsidR="00971008" w:rsidTr="000A630A">
        <w:trPr>
          <w:trHeight w:val="1466"/>
        </w:trPr>
        <w:tc>
          <w:tcPr>
            <w:tcW w:w="9350" w:type="dxa"/>
            <w:gridSpan w:val="2"/>
            <w:shd w:val="clear" w:color="auto" w:fill="auto"/>
          </w:tcPr>
          <w:p w:rsidR="003404BA" w:rsidRDefault="003404BA" w:rsidP="003404BA">
            <w:pPr>
              <w:pStyle w:val="Standard"/>
              <w:numPr>
                <w:ilvl w:val="0"/>
                <w:numId w:val="16"/>
              </w:numPr>
              <w:autoSpaceDE w:val="0"/>
              <w:spacing w:after="57"/>
              <w:rPr>
                <w:szCs w:val="20"/>
              </w:rPr>
            </w:pPr>
            <w:r>
              <w:rPr>
                <w:szCs w:val="20"/>
              </w:rPr>
              <w:t xml:space="preserve">Prvotní náhled dokumentace včetně prvotního výkazu výměr a technické specifikace </w:t>
            </w:r>
            <w:r>
              <w:rPr>
                <w:b/>
                <w:szCs w:val="20"/>
              </w:rPr>
              <w:t>do 31. 5</w:t>
            </w:r>
            <w:r w:rsidRPr="005B43E1">
              <w:rPr>
                <w:b/>
                <w:szCs w:val="20"/>
              </w:rPr>
              <w:t>. 20</w:t>
            </w:r>
            <w:r>
              <w:rPr>
                <w:b/>
                <w:szCs w:val="20"/>
              </w:rPr>
              <w:t>20,</w:t>
            </w:r>
          </w:p>
          <w:p w:rsidR="00971008" w:rsidRPr="00971008" w:rsidRDefault="003404BA" w:rsidP="003404BA">
            <w:pPr>
              <w:pStyle w:val="Standard"/>
              <w:numPr>
                <w:ilvl w:val="0"/>
                <w:numId w:val="16"/>
              </w:numPr>
              <w:autoSpaceDE w:val="0"/>
              <w:spacing w:after="57"/>
              <w:rPr>
                <w:szCs w:val="20"/>
              </w:rPr>
            </w:pPr>
            <w:r>
              <w:rPr>
                <w:szCs w:val="20"/>
              </w:rPr>
              <w:t xml:space="preserve">dokumentace k provedení stavby </w:t>
            </w:r>
            <w:r w:rsidRPr="00404B7B">
              <w:rPr>
                <w:b/>
                <w:szCs w:val="20"/>
              </w:rPr>
              <w:t xml:space="preserve">do </w:t>
            </w:r>
            <w:r>
              <w:rPr>
                <w:b/>
                <w:szCs w:val="20"/>
              </w:rPr>
              <w:t>31. 7. 2020</w:t>
            </w:r>
            <w:r w:rsidR="00971008" w:rsidRPr="00F27BB4">
              <w:rPr>
                <w:szCs w:val="20"/>
              </w:rPr>
              <w:t>.</w:t>
            </w:r>
          </w:p>
        </w:tc>
      </w:tr>
    </w:tbl>
    <w:p w:rsidR="00AA7600" w:rsidRDefault="00AA7600" w:rsidP="000A630A">
      <w:pPr>
        <w:autoSpaceDE w:val="0"/>
        <w:spacing w:after="57"/>
        <w:ind w:left="567" w:hanging="567"/>
        <w:jc w:val="both"/>
        <w:rPr>
          <w:rFonts w:eastAsia="Calibri" w:cs="Calibri"/>
          <w:sz w:val="12"/>
          <w:szCs w:val="12"/>
        </w:rPr>
      </w:pPr>
      <w:r>
        <w:rPr>
          <w:rFonts w:eastAsia="Calibri" w:cs="Calibri"/>
          <w:szCs w:val="20"/>
        </w:rPr>
        <w:tab/>
        <w:t xml:space="preserve">Ukončením </w:t>
      </w:r>
      <w:r w:rsidR="00B8162B">
        <w:rPr>
          <w:rFonts w:eastAsia="Calibri" w:cs="Calibri"/>
          <w:szCs w:val="20"/>
        </w:rPr>
        <w:t>zakázky</w:t>
      </w:r>
      <w:r>
        <w:rPr>
          <w:rFonts w:eastAsia="Calibri" w:cs="Calibri"/>
          <w:szCs w:val="20"/>
        </w:rPr>
        <w:t xml:space="preserve"> – ukončením finálního přejímacího řízení -  se rozumí den podpisu protokolu o předání a převzetí </w:t>
      </w:r>
      <w:r w:rsidR="00B8162B">
        <w:rPr>
          <w:rFonts w:eastAsia="Calibri" w:cs="Calibri"/>
          <w:szCs w:val="20"/>
        </w:rPr>
        <w:t>výše uvedené dokumentace, která</w:t>
      </w:r>
      <w:r>
        <w:rPr>
          <w:rFonts w:eastAsia="Calibri" w:cs="Calibri"/>
          <w:szCs w:val="20"/>
        </w:rPr>
        <w:t xml:space="preserve"> neobsahuje vady bránící užívání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 xml:space="preserve">Zhotovitel odstraní vady zjištěné při předání a převzetí </w:t>
      </w:r>
      <w:r w:rsidR="00B8162B">
        <w:rPr>
          <w:rFonts w:eastAsia="Calibri" w:cs="Calibri"/>
          <w:iCs/>
          <w:szCs w:val="20"/>
        </w:rPr>
        <w:t>předmětu zakázky</w:t>
      </w:r>
      <w:r>
        <w:rPr>
          <w:rFonts w:eastAsia="Calibri" w:cs="Calibri"/>
          <w:iCs/>
          <w:szCs w:val="20"/>
        </w:rPr>
        <w:t xml:space="preserve">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w:t>
      </w:r>
      <w:r w:rsidR="00B8162B">
        <w:rPr>
          <w:rFonts w:cs="Calibri"/>
          <w:iCs/>
          <w:szCs w:val="20"/>
        </w:rPr>
        <w:t xml:space="preserve">zakázku </w:t>
      </w:r>
      <w:r>
        <w:rPr>
          <w:rFonts w:cs="Calibri"/>
          <w:iCs/>
          <w:szCs w:val="20"/>
        </w:rPr>
        <w:t>nebo jeho dohodnutou část před sjednaným termínem, z</w:t>
      </w:r>
      <w:r w:rsidR="00B8162B">
        <w:rPr>
          <w:rFonts w:cs="Calibri"/>
          <w:iCs/>
          <w:szCs w:val="20"/>
        </w:rPr>
        <w:t>avazuje se objednatel převzít tu</w:t>
      </w:r>
      <w:r>
        <w:rPr>
          <w:rFonts w:cs="Calibri"/>
          <w:iCs/>
          <w:szCs w:val="20"/>
        </w:rPr>
        <w:t xml:space="preserve">to </w:t>
      </w:r>
      <w:r w:rsidR="00B8162B">
        <w:rPr>
          <w:rFonts w:cs="Calibri"/>
          <w:iCs/>
          <w:szCs w:val="20"/>
        </w:rPr>
        <w:t>zakázku</w:t>
      </w:r>
      <w:r>
        <w:rPr>
          <w:rFonts w:cs="Calibri"/>
          <w:iCs/>
          <w:szCs w:val="20"/>
        </w:rPr>
        <w:t xml:space="preserve"> i v nabídnutém zkráceném termínu. Zhotoviteli z toho neplynou žádné finanční ani jiné nároky.  </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Zhotovitel je povinen </w:t>
      </w:r>
      <w:r w:rsidR="00B8162B">
        <w:rPr>
          <w:rFonts w:cs="Calibri"/>
          <w:iCs/>
          <w:szCs w:val="20"/>
        </w:rPr>
        <w:t>zakázku</w:t>
      </w:r>
      <w:r>
        <w:rPr>
          <w:rFonts w:cs="Calibri"/>
          <w:iCs/>
          <w:szCs w:val="20"/>
        </w:rPr>
        <w:t xml:space="preserve">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pPr>
        <w:numPr>
          <w:ilvl w:val="0"/>
          <w:numId w:val="3"/>
        </w:numPr>
        <w:autoSpaceDE w:val="0"/>
        <w:spacing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Default="000A630A" w:rsidP="004A16D3">
      <w:pPr>
        <w:spacing w:before="200" w:after="57"/>
        <w:jc w:val="center"/>
        <w:rPr>
          <w:rFonts w:eastAsia="Calibri" w:cs="Calibri"/>
          <w:b/>
          <w:bCs/>
          <w:sz w:val="24"/>
          <w:shd w:val="clear" w:color="auto" w:fill="99CCFF"/>
        </w:rPr>
      </w:pPr>
      <w:r>
        <w:rPr>
          <w:rFonts w:cs="Calibri"/>
          <w:sz w:val="24"/>
        </w:rPr>
        <w:br w:type="page"/>
      </w:r>
      <w:r w:rsidR="00AA7600">
        <w:rPr>
          <w:rFonts w:cs="Calibri"/>
          <w:sz w:val="24"/>
        </w:rPr>
        <w:lastRenderedPageBreak/>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rsidP="000A630A">
      <w:pPr>
        <w:numPr>
          <w:ilvl w:val="2"/>
          <w:numId w:val="5"/>
        </w:numPr>
        <w:shd w:val="clear" w:color="auto" w:fill="FFFFFF"/>
        <w:spacing w:before="57"/>
        <w:ind w:left="567" w:hanging="567"/>
        <w:jc w:val="both"/>
        <w:rPr>
          <w:rFonts w:cs="Calibri"/>
          <w:szCs w:val="20"/>
        </w:rPr>
      </w:pPr>
      <w:r>
        <w:rPr>
          <w:rFonts w:cs="Calibri"/>
          <w:szCs w:val="20"/>
        </w:rPr>
        <w:t xml:space="preserve">Cena za zhotovení </w:t>
      </w:r>
      <w:r w:rsidR="007A0191">
        <w:rPr>
          <w:rFonts w:cs="Calibri"/>
          <w:szCs w:val="20"/>
        </w:rPr>
        <w:t>předmětu zakázky</w:t>
      </w:r>
      <w:r>
        <w:rPr>
          <w:rFonts w:cs="Calibri"/>
          <w:szCs w:val="20"/>
        </w:rPr>
        <w:t xml:space="preserve">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0A630A">
        <w:trPr>
          <w:trHeight w:val="283"/>
        </w:trPr>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752EAA" w:rsidP="00752EAA">
            <w:pPr>
              <w:spacing w:line="360" w:lineRule="auto"/>
              <w:jc w:val="both"/>
            </w:pPr>
            <w:r>
              <w:rPr>
                <w:rFonts w:cs="Calibri"/>
                <w:szCs w:val="20"/>
              </w:rPr>
              <w:t xml:space="preserve">             ,- Kč</w:t>
            </w:r>
          </w:p>
        </w:tc>
      </w:tr>
      <w:tr w:rsidR="00752EAA" w:rsidTr="000A630A">
        <w:trPr>
          <w:trHeight w:val="283"/>
        </w:trPr>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752EAA" w:rsidP="00752EAA">
            <w:pPr>
              <w:spacing w:line="360" w:lineRule="auto"/>
              <w:jc w:val="both"/>
            </w:pPr>
            <w:r>
              <w:rPr>
                <w:rFonts w:cs="Calibri"/>
                <w:szCs w:val="20"/>
              </w:rPr>
              <w:t xml:space="preserve">             ,- Kč</w:t>
            </w:r>
          </w:p>
        </w:tc>
      </w:tr>
      <w:tr w:rsidR="00752EAA" w:rsidTr="000A630A">
        <w:trPr>
          <w:trHeight w:val="283"/>
        </w:trPr>
        <w:tc>
          <w:tcPr>
            <w:tcW w:w="4154" w:type="dxa"/>
            <w:shd w:val="clear" w:color="auto" w:fill="auto"/>
          </w:tcPr>
          <w:p w:rsidR="00752EAA" w:rsidRPr="000A630A" w:rsidRDefault="00752EAA" w:rsidP="00894EB2">
            <w:pPr>
              <w:spacing w:line="360" w:lineRule="auto"/>
              <w:jc w:val="both"/>
              <w:rPr>
                <w:rFonts w:cs="Calibri"/>
                <w:b/>
                <w:bCs/>
                <w:szCs w:val="20"/>
              </w:rPr>
            </w:pPr>
            <w:r>
              <w:rPr>
                <w:rFonts w:cs="Calibri"/>
                <w:b/>
                <w:bCs/>
                <w:szCs w:val="20"/>
              </w:rPr>
              <w:t>Celková cena včetně DPH:</w:t>
            </w:r>
          </w:p>
        </w:tc>
        <w:tc>
          <w:tcPr>
            <w:tcW w:w="2850" w:type="dxa"/>
            <w:shd w:val="clear" w:color="auto" w:fill="auto"/>
          </w:tcPr>
          <w:p w:rsidR="00752EAA" w:rsidRDefault="00752EAA" w:rsidP="00894EB2">
            <w:pPr>
              <w:pStyle w:val="Obsahtabulky"/>
              <w:jc w:val="both"/>
              <w:rPr>
                <w:rFonts w:cs="Calibri"/>
                <w:b/>
                <w:bCs/>
                <w:szCs w:val="20"/>
              </w:rPr>
            </w:pPr>
          </w:p>
        </w:tc>
        <w:tc>
          <w:tcPr>
            <w:tcW w:w="1726" w:type="dxa"/>
            <w:shd w:val="clear" w:color="auto" w:fill="auto"/>
          </w:tcPr>
          <w:p w:rsidR="00752EAA" w:rsidRPr="003E5FDA" w:rsidRDefault="00752EAA" w:rsidP="00752EAA">
            <w:pPr>
              <w:spacing w:line="360" w:lineRule="auto"/>
              <w:jc w:val="both"/>
              <w:rPr>
                <w:rFonts w:cs="Calibri"/>
                <w:b/>
                <w:bCs/>
                <w:szCs w:val="20"/>
              </w:rPr>
            </w:pPr>
            <w:r>
              <w:rPr>
                <w:rFonts w:cs="Calibri"/>
                <w:b/>
                <w:bCs/>
                <w:szCs w:val="20"/>
              </w:rPr>
              <w:t xml:space="preserve">             ,- Kč</w:t>
            </w:r>
          </w:p>
        </w:tc>
      </w:tr>
    </w:tbl>
    <w:p w:rsidR="00AA7600" w:rsidRDefault="00AA7600" w:rsidP="000A630A">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Cena </w:t>
      </w:r>
      <w:r w:rsidR="007A0191">
        <w:rPr>
          <w:rFonts w:cs="Calibri"/>
          <w:szCs w:val="20"/>
        </w:rPr>
        <w:t>předmětu zakázky</w:t>
      </w:r>
      <w:r>
        <w:rPr>
          <w:rFonts w:cs="Calibri"/>
          <w:szCs w:val="20"/>
        </w:rPr>
        <w:t xml:space="preserve"> se sjednává jako cena pevná a nejvýše přípustná, platná po celou dobu realizace </w:t>
      </w:r>
      <w:r w:rsidR="007A0191">
        <w:rPr>
          <w:rFonts w:cs="Calibri"/>
          <w:szCs w:val="20"/>
        </w:rPr>
        <w:t>zakázky</w:t>
      </w:r>
      <w:r>
        <w:rPr>
          <w:rFonts w:cs="Calibri"/>
          <w:szCs w:val="20"/>
        </w:rPr>
        <w:t xml:space="preserve">.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Správní poplatky související s plněním předmětu této smlouvy jsou zahrnuty v ceně </w:t>
      </w:r>
      <w:r w:rsidR="007A0191">
        <w:rPr>
          <w:rFonts w:cs="Calibri"/>
          <w:szCs w:val="20"/>
        </w:rPr>
        <w:t>zakázky</w:t>
      </w:r>
      <w:r>
        <w:rPr>
          <w:rFonts w:cs="Calibri"/>
          <w:szCs w:val="20"/>
        </w:rPr>
        <w:t>.</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V případě, že se v průběhu </w:t>
      </w:r>
      <w:r w:rsidR="007A0191">
        <w:rPr>
          <w:rFonts w:cs="Calibri"/>
          <w:szCs w:val="20"/>
        </w:rPr>
        <w:t>zpracování předmětu zakázky</w:t>
      </w:r>
      <w:r>
        <w:rPr>
          <w:rFonts w:cs="Calibri"/>
          <w:szCs w:val="20"/>
        </w:rPr>
        <w:t xml:space="preserve">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 xml:space="preserve">provedení původních prací nebo pro dokončení předmětu </w:t>
      </w:r>
      <w:r w:rsidR="007A0191">
        <w:rPr>
          <w:rFonts w:cs="Calibri"/>
          <w:szCs w:val="20"/>
        </w:rPr>
        <w:t>zakázky</w:t>
      </w:r>
      <w:r>
        <w:rPr>
          <w:rFonts w:cs="Calibri"/>
          <w:szCs w:val="20"/>
        </w:rPr>
        <w:t>, je zhotovitel povinen na skutečnosti zjištěné v daném smyslu neprodleně upozornit objednatele a vést jejich oddělenou evidenci.</w:t>
      </w:r>
    </w:p>
    <w:p w:rsidR="00AA7600" w:rsidRDefault="00AA7600" w:rsidP="002D36D1">
      <w:pPr>
        <w:numPr>
          <w:ilvl w:val="2"/>
          <w:numId w:val="5"/>
        </w:numPr>
        <w:shd w:val="clear" w:color="auto" w:fill="FFFFFF"/>
        <w:spacing w:before="57"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pPr>
        <w:shd w:val="clear" w:color="auto" w:fill="FFFFFF"/>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Objednatel nebude zhotoviteli poskytovat zálohy. Cena provedených prací, včetně DPH, bude </w:t>
      </w:r>
      <w:r>
        <w:rPr>
          <w:rFonts w:cs="Calibri"/>
          <w:b/>
          <w:bCs/>
          <w:szCs w:val="20"/>
        </w:rPr>
        <w:t>účtována měsíčně</w:t>
      </w:r>
      <w:r>
        <w:rPr>
          <w:rFonts w:cs="Calibri"/>
          <w:szCs w:val="20"/>
        </w:rPr>
        <w:t xml:space="preserve"> vždy na základě příslušné faktury – daňového dokladu.</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AA7600" w:rsidRDefault="00AA7600" w:rsidP="000A630A">
      <w:pPr>
        <w:spacing w:before="20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Vlastnické právo k zhotovované věci je před a během provedení </w:t>
      </w:r>
      <w:r w:rsidR="007A0191">
        <w:rPr>
          <w:rFonts w:eastAsia="Calibri" w:cs="Calibri"/>
          <w:szCs w:val="20"/>
        </w:rPr>
        <w:t>zakázky</w:t>
      </w:r>
      <w:r>
        <w:rPr>
          <w:rFonts w:eastAsia="Calibri" w:cs="Calibri"/>
          <w:szCs w:val="20"/>
        </w:rPr>
        <w:t xml:space="preserve"> na straně zhotovitele, po sepsání protokolu o předání a převzetí </w:t>
      </w:r>
      <w:r w:rsidR="007A0191">
        <w:rPr>
          <w:rFonts w:eastAsia="Calibri" w:cs="Calibri"/>
          <w:szCs w:val="20"/>
        </w:rPr>
        <w:t>předmětu zakázky</w:t>
      </w:r>
      <w:r>
        <w:rPr>
          <w:rFonts w:eastAsia="Calibri" w:cs="Calibri"/>
          <w:szCs w:val="20"/>
        </w:rPr>
        <w:t xml:space="preserve"> přechází vlastnické právo na stranu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O předání a převzetí </w:t>
      </w:r>
      <w:r w:rsidR="007A0191">
        <w:rPr>
          <w:rFonts w:eastAsia="Calibri" w:cs="Calibri"/>
          <w:szCs w:val="20"/>
        </w:rPr>
        <w:t>předmětu zakázky</w:t>
      </w:r>
      <w:r>
        <w:rPr>
          <w:rFonts w:eastAsia="Calibri" w:cs="Calibri"/>
          <w:szCs w:val="20"/>
        </w:rPr>
        <w:t xml:space="preserve"> bude sepsán předávací protokol podepsaný pověřenou osobou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Zhotovitel na sebe přejímá zodpovědnost za škody způsobené všemi osobami a subjekty (včetně subdodavatelů) podílejícími se na provádění předmět</w:t>
      </w:r>
      <w:r w:rsidR="007A0191">
        <w:rPr>
          <w:rFonts w:eastAsia="Calibri" w:cs="Calibri"/>
          <w:szCs w:val="20"/>
        </w:rPr>
        <w:t>u zakázky</w:t>
      </w:r>
      <w:r>
        <w:rPr>
          <w:rFonts w:eastAsia="Calibri" w:cs="Calibri"/>
          <w:szCs w:val="20"/>
        </w:rPr>
        <w:t xml:space="preserve">, a to po celou dobu realizace, tzn. do převzetí </w:t>
      </w:r>
      <w:r w:rsidR="007A0191">
        <w:rPr>
          <w:rFonts w:eastAsia="Calibri" w:cs="Calibri"/>
          <w:szCs w:val="20"/>
        </w:rPr>
        <w:t xml:space="preserve">předmětu zakázky </w:t>
      </w:r>
      <w:r>
        <w:rPr>
          <w:rFonts w:eastAsia="Calibri" w:cs="Calibri"/>
          <w:szCs w:val="20"/>
        </w:rPr>
        <w:t xml:space="preserve">zadavatelem bez vad a nedodělků, stejně tak za škody způsobené svou činností zadavateli nebo třetí osobě na </w:t>
      </w:r>
      <w:r w:rsidR="00035A6C">
        <w:rPr>
          <w:rFonts w:eastAsia="Calibri" w:cs="Calibri"/>
          <w:szCs w:val="20"/>
        </w:rPr>
        <w:t>zdraví nebo majetku</w:t>
      </w:r>
      <w:r>
        <w:rPr>
          <w:rFonts w:eastAsia="Calibri" w:cs="Calibri"/>
          <w:szCs w:val="20"/>
        </w:rPr>
        <w:t xml:space="preserve"> nebo poškození zdraví osob je zhotovitel povinen bez zbytečného</w:t>
      </w:r>
      <w:r w:rsidR="007A0191">
        <w:rPr>
          <w:rFonts w:eastAsia="Calibri" w:cs="Calibri"/>
          <w:szCs w:val="20"/>
        </w:rPr>
        <w:t xml:space="preserve"> odkladu tuto škodu odstranit a </w:t>
      </w:r>
      <w:r>
        <w:rPr>
          <w:rFonts w:eastAsia="Calibri" w:cs="Calibri"/>
          <w:szCs w:val="20"/>
        </w:rPr>
        <w:t xml:space="preserve">není-li to možné, tak finančně uhradit. Za tímto účelem musí mít zhotovitel uzavřenu pojistnou smlouvu platnou po celou dobu realizace </w:t>
      </w:r>
      <w:r w:rsidR="007A0191">
        <w:rPr>
          <w:rFonts w:eastAsia="Calibri" w:cs="Calibri"/>
          <w:szCs w:val="20"/>
        </w:rPr>
        <w:t>předmětu zakázky</w:t>
      </w:r>
      <w:r>
        <w:rPr>
          <w:rFonts w:eastAsia="Calibri" w:cs="Calibri"/>
          <w:szCs w:val="20"/>
        </w:rPr>
        <w:t xml:space="preserve"> na pojištění škod způsobených při výkonu činnosti třetí osobě min. ve výši ceny </w:t>
      </w:r>
      <w:r w:rsidR="007A0191">
        <w:rPr>
          <w:rFonts w:eastAsia="Calibri" w:cs="Calibri"/>
          <w:szCs w:val="20"/>
        </w:rPr>
        <w:t>zakázky</w:t>
      </w:r>
      <w:r>
        <w:rPr>
          <w:rFonts w:eastAsia="Calibri" w:cs="Calibri"/>
          <w:szCs w:val="20"/>
        </w:rPr>
        <w:t xml:space="preserve"> a na škody vzniklé z jakékoliv příčiny na prováděném </w:t>
      </w:r>
      <w:r w:rsidR="007A0191">
        <w:rPr>
          <w:rFonts w:eastAsia="Calibri" w:cs="Calibri"/>
          <w:szCs w:val="20"/>
        </w:rPr>
        <w:t>předmětu zakázky</w:t>
      </w:r>
      <w:r>
        <w:rPr>
          <w:rFonts w:eastAsia="Calibri" w:cs="Calibri"/>
          <w:szCs w:val="20"/>
        </w:rPr>
        <w:t xml:space="preserve"> včetně materiálů určených k zabudování do díla a včetně zařízení staveniště, a to v plné výši dohodnuté ceny díla. </w:t>
      </w:r>
    </w:p>
    <w:p w:rsidR="00AA7600" w:rsidRPr="000A630A" w:rsidRDefault="00AA7600" w:rsidP="000A630A">
      <w:pPr>
        <w:spacing w:before="20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AA7600" w:rsidRPr="003B5FA7" w:rsidRDefault="00AA7600" w:rsidP="003B5FA7">
      <w:pPr>
        <w:spacing w:before="120" w:after="57"/>
        <w:jc w:val="center"/>
        <w:rPr>
          <w:rFonts w:cs="Calibri"/>
          <w:sz w:val="24"/>
        </w:rPr>
      </w:pPr>
      <w:r>
        <w:rPr>
          <w:rFonts w:cs="Calibri"/>
          <w:sz w:val="24"/>
        </w:rPr>
        <w:lastRenderedPageBreak/>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je povinen provést dílo podle pokynů objednatele a v dohodnuté lhůtě dílo předat objednateli.</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Objednatel má právo upravit rozsah plnění díla a technické řešení v průběhu jeho realizace.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2D36D1">
      <w:pPr>
        <w:numPr>
          <w:ilvl w:val="1"/>
          <w:numId w:val="10"/>
        </w:numPr>
        <w:shd w:val="clear" w:color="auto" w:fill="FFFFFF"/>
        <w:autoSpaceDE w:val="0"/>
        <w:spacing w:before="57"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Objednatel si vyhrazuje právo odmítnout navrženého subdodavatele.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AA7600" w:rsidRPr="003B5FA7" w:rsidRDefault="00AA7600" w:rsidP="003B5FA7">
      <w:pPr>
        <w:spacing w:before="200" w:after="57"/>
        <w:jc w:val="center"/>
        <w:rPr>
          <w:rFonts w:cs="Calibri"/>
          <w:sz w:val="24"/>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527009">
      <w:pPr>
        <w:numPr>
          <w:ilvl w:val="2"/>
          <w:numId w:val="7"/>
        </w:numPr>
        <w:shd w:val="clear" w:color="auto" w:fill="FFFFFF"/>
        <w:autoSpaceDE w:val="0"/>
        <w:spacing w:before="57" w:after="113"/>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w:t>
      </w:r>
      <w:r w:rsidR="000A630A">
        <w:rPr>
          <w:rFonts w:eastAsia="Calibri" w:cs="Calibri"/>
          <w:szCs w:val="20"/>
        </w:rPr>
        <w:t>dnateli smluvní pokutu ve výši 5</w:t>
      </w:r>
      <w:r>
        <w:rPr>
          <w:rFonts w:eastAsia="Calibri" w:cs="Calibri"/>
          <w:szCs w:val="20"/>
        </w:rPr>
        <w:t>00,- Kč za každý započatý den prodlení s termínem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w:t>
      </w:r>
      <w:r w:rsidR="000A630A">
        <w:rPr>
          <w:rFonts w:eastAsia="Calibri" w:cs="Calibri"/>
          <w:szCs w:val="20"/>
        </w:rPr>
        <w:t>dnateli smluvní pokutu ve výši 5</w:t>
      </w:r>
      <w:r>
        <w:rPr>
          <w:rFonts w:eastAsia="Calibri" w:cs="Calibri"/>
          <w:szCs w:val="20"/>
        </w:rPr>
        <w:t>00,- Kč za každou vadu (podle soupisu vad a nedodělků) a započatý den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sidR="000A630A">
        <w:rPr>
          <w:rFonts w:eastAsia="Calibri" w:cs="Calibri"/>
          <w:szCs w:val="20"/>
        </w:rPr>
        <w:t>výši 5</w:t>
      </w:r>
      <w:r>
        <w:rPr>
          <w:rFonts w:eastAsia="Calibri" w:cs="Calibri"/>
          <w:szCs w:val="20"/>
        </w:rPr>
        <w:t>00,- Kč za každou neodstraněnou reklamovanou vadu a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V případě opoždění objednatele s úhradou daňového dokladu má zhotovitel právo požadovat smluvní pokutu ve </w:t>
      </w:r>
      <w:r w:rsidR="000A630A">
        <w:rPr>
          <w:rFonts w:eastAsia="Calibri" w:cs="Calibri"/>
          <w:szCs w:val="20"/>
        </w:rPr>
        <w:t>výši 5</w:t>
      </w:r>
      <w:r>
        <w:rPr>
          <w:rFonts w:eastAsia="Calibri" w:cs="Calibri"/>
          <w:szCs w:val="20"/>
        </w:rPr>
        <w:t>00,- Kč za každý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Pr="003B5FA7" w:rsidRDefault="00AA7600" w:rsidP="003B5FA7">
      <w:pPr>
        <w:spacing w:before="200" w:after="57"/>
        <w:jc w:val="center"/>
        <w:rPr>
          <w:rFonts w:cs="Calibri"/>
          <w:sz w:val="24"/>
        </w:rPr>
      </w:pPr>
      <w:r>
        <w:rPr>
          <w:rFonts w:cs="Calibri"/>
          <w:sz w:val="24"/>
        </w:rPr>
        <w:lastRenderedPageBreak/>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527009">
      <w:pPr>
        <w:numPr>
          <w:ilvl w:val="2"/>
          <w:numId w:val="11"/>
        </w:numPr>
        <w:shd w:val="clear" w:color="auto" w:fill="FFFFFF"/>
        <w:autoSpaceDE w:val="0"/>
        <w:spacing w:before="57" w:after="113"/>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7B4BB5">
        <w:rPr>
          <w:rFonts w:eastAsia="Calibri" w:cs="Calibri"/>
          <w:b/>
          <w:szCs w:val="20"/>
          <w:shd w:val="clear" w:color="auto" w:fill="FFFF99"/>
        </w:rPr>
        <w:t>24</w:t>
      </w:r>
      <w:r w:rsidR="009B4A46" w:rsidRPr="003B5FA7">
        <w:rPr>
          <w:rFonts w:eastAsia="Calibri" w:cs="Calibri"/>
          <w:b/>
          <w:szCs w:val="20"/>
          <w:shd w:val="clear" w:color="auto" w:fill="FFFF99"/>
        </w:rPr>
        <w:t xml:space="preserve"> </w:t>
      </w:r>
      <w:r>
        <w:rPr>
          <w:rFonts w:eastAsia="Calibri" w:cs="Calibri"/>
          <w:b/>
          <w:szCs w:val="20"/>
          <w:shd w:val="clear" w:color="auto" w:fill="FFFF99"/>
        </w:rPr>
        <w:t>měsíců.</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52700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AA7600" w:rsidRPr="003B5FA7" w:rsidRDefault="00AA7600" w:rsidP="003B5FA7">
      <w:pPr>
        <w:spacing w:before="200" w:after="57"/>
        <w:jc w:val="center"/>
        <w:rPr>
          <w:rFonts w:cs="Calibri"/>
          <w:sz w:val="24"/>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rsidP="00573A8C">
            <w:pPr>
              <w:jc w:val="center"/>
            </w:pPr>
            <w:r>
              <w:rPr>
                <w:rFonts w:eastAsia="Calibri" w:cs="Calibri"/>
                <w:b/>
                <w:bCs/>
                <w:sz w:val="24"/>
                <w:shd w:val="clear" w:color="auto" w:fill="99CCFF"/>
              </w:rPr>
              <w:t xml:space="preserve">KONTROLA </w:t>
            </w:r>
            <w:r w:rsidR="00624368" w:rsidRPr="00624368">
              <w:rPr>
                <w:rFonts w:eastAsia="Calibri" w:cs="Calibri"/>
                <w:b/>
                <w:bCs/>
                <w:sz w:val="24"/>
                <w:shd w:val="clear" w:color="auto" w:fill="99CCFF"/>
              </w:rPr>
              <w:t>PŘEDMĚTU ZAKÁZKY</w:t>
            </w:r>
          </w:p>
        </w:tc>
      </w:tr>
    </w:tbl>
    <w:p w:rsidR="00AA7600" w:rsidRDefault="00AA7600" w:rsidP="00527009">
      <w:pPr>
        <w:numPr>
          <w:ilvl w:val="2"/>
          <w:numId w:val="12"/>
        </w:numPr>
        <w:shd w:val="clear" w:color="auto" w:fill="FFFFFF"/>
        <w:autoSpaceDE w:val="0"/>
        <w:spacing w:before="57" w:after="113"/>
        <w:ind w:left="567" w:hanging="567"/>
        <w:jc w:val="both"/>
        <w:rPr>
          <w:rFonts w:eastAsia="Calibri" w:cs="Calibri"/>
          <w:szCs w:val="20"/>
        </w:rPr>
      </w:pPr>
      <w:r w:rsidRPr="006D71D1">
        <w:rPr>
          <w:rFonts w:cs="Calibri"/>
        </w:rPr>
        <w:t>Ko</w:t>
      </w:r>
      <w:r w:rsidRPr="006D71D1">
        <w:rPr>
          <w:rFonts w:eastAsia="Calibri" w:cs="Calibri"/>
          <w:szCs w:val="20"/>
        </w:rPr>
        <w:t xml:space="preserve">ntrolou </w:t>
      </w:r>
      <w:r w:rsidR="00F73011">
        <w:rPr>
          <w:rFonts w:eastAsia="Calibri" w:cs="Calibri"/>
          <w:szCs w:val="20"/>
        </w:rPr>
        <w:t xml:space="preserve">veškeré dokumentace </w:t>
      </w:r>
      <w:r w:rsidR="00573A8C">
        <w:rPr>
          <w:rFonts w:eastAsia="Calibri" w:cs="Calibri"/>
          <w:szCs w:val="20"/>
        </w:rPr>
        <w:t xml:space="preserve">pověřil </w:t>
      </w:r>
      <w:r w:rsidR="009F6E71" w:rsidRPr="006D71D1">
        <w:rPr>
          <w:rFonts w:eastAsia="Calibri" w:cs="Calibri"/>
          <w:szCs w:val="20"/>
        </w:rPr>
        <w:t xml:space="preserve">objednatel </w:t>
      </w:r>
      <w:r w:rsidR="0031558D">
        <w:rPr>
          <w:rFonts w:eastAsia="Calibri" w:cs="Calibri"/>
          <w:szCs w:val="20"/>
        </w:rPr>
        <w:t>místo</w:t>
      </w:r>
      <w:r w:rsidR="00573A8C">
        <w:rPr>
          <w:rFonts w:eastAsia="Calibri" w:cs="Calibri"/>
          <w:szCs w:val="20"/>
        </w:rPr>
        <w:t>starostu města, který</w:t>
      </w:r>
      <w:r w:rsidR="0031558D">
        <w:rPr>
          <w:rFonts w:eastAsia="Calibri" w:cs="Calibri"/>
          <w:szCs w:val="20"/>
        </w:rPr>
        <w:t xml:space="preserve"> bud</w:t>
      </w:r>
      <w:r w:rsidR="00573A8C">
        <w:rPr>
          <w:rFonts w:eastAsia="Calibri" w:cs="Calibri"/>
          <w:szCs w:val="20"/>
        </w:rPr>
        <w:t>e</w:t>
      </w:r>
      <w:r w:rsidRPr="006D71D1">
        <w:rPr>
          <w:rFonts w:eastAsia="Calibri" w:cs="Calibri"/>
          <w:szCs w:val="20"/>
        </w:rPr>
        <w:t xml:space="preserve"> trvale sledovat průběh </w:t>
      </w:r>
      <w:r w:rsidR="00F73011">
        <w:rPr>
          <w:rFonts w:eastAsia="Calibri" w:cs="Calibri"/>
          <w:szCs w:val="20"/>
        </w:rPr>
        <w:t>zpracování této dokumentace</w:t>
      </w:r>
      <w:r w:rsidRPr="006D71D1">
        <w:rPr>
          <w:rFonts w:eastAsia="Calibri" w:cs="Calibri"/>
          <w:szCs w:val="20"/>
        </w:rPr>
        <w:t>, zejména to, zda</w:t>
      </w:r>
      <w:r w:rsidR="00527009">
        <w:rPr>
          <w:rFonts w:eastAsia="Calibri" w:cs="Calibri"/>
          <w:szCs w:val="20"/>
        </w:rPr>
        <w:t> </w:t>
      </w:r>
      <w:r w:rsidRPr="006D71D1">
        <w:rPr>
          <w:rFonts w:eastAsia="Calibri" w:cs="Calibri"/>
          <w:szCs w:val="20"/>
        </w:rPr>
        <w:t>j</w:t>
      </w:r>
      <w:r w:rsidR="00F73011">
        <w:rPr>
          <w:rFonts w:eastAsia="Calibri" w:cs="Calibri"/>
          <w:szCs w:val="20"/>
        </w:rPr>
        <w:t>e</w:t>
      </w:r>
      <w:r w:rsidRPr="006D71D1">
        <w:rPr>
          <w:rFonts w:eastAsia="Calibri" w:cs="Calibri"/>
          <w:szCs w:val="20"/>
        </w:rPr>
        <w:t xml:space="preserve"> </w:t>
      </w:r>
      <w:r w:rsidR="00F73011">
        <w:rPr>
          <w:rFonts w:eastAsia="Calibri" w:cs="Calibri"/>
          <w:szCs w:val="20"/>
        </w:rPr>
        <w:t xml:space="preserve">dokumentace zpracovávána </w:t>
      </w:r>
      <w:r w:rsidRPr="006D71D1">
        <w:rPr>
          <w:rFonts w:eastAsia="Calibri" w:cs="Calibri"/>
          <w:szCs w:val="20"/>
        </w:rPr>
        <w:t xml:space="preserve">podle smluvních podmínek, technických norem </w:t>
      </w:r>
      <w:r w:rsidR="00573A8C">
        <w:rPr>
          <w:rFonts w:eastAsia="Calibri" w:cs="Calibri"/>
          <w:szCs w:val="20"/>
        </w:rPr>
        <w:t>a </w:t>
      </w:r>
      <w:r w:rsidRPr="006D71D1">
        <w:rPr>
          <w:rFonts w:eastAsia="Calibri" w:cs="Calibri"/>
          <w:szCs w:val="20"/>
        </w:rPr>
        <w:t>ostatních předpisů.</w:t>
      </w:r>
    </w:p>
    <w:p w:rsidR="00AA7600" w:rsidRPr="006D71D1" w:rsidRDefault="00AA7600">
      <w:pPr>
        <w:numPr>
          <w:ilvl w:val="2"/>
          <w:numId w:val="12"/>
        </w:numPr>
        <w:shd w:val="clear" w:color="auto" w:fill="FFFFFF"/>
        <w:autoSpaceDE w:val="0"/>
        <w:spacing w:after="113"/>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w:t>
      </w:r>
      <w:r w:rsidR="00F73011">
        <w:rPr>
          <w:rFonts w:eastAsia="Calibri" w:cs="Calibri"/>
          <w:szCs w:val="20"/>
        </w:rPr>
        <w:t>předmětu zakázky</w:t>
      </w:r>
      <w:r w:rsidRPr="006D71D1">
        <w:rPr>
          <w:rFonts w:eastAsia="Calibri" w:cs="Calibri"/>
          <w:szCs w:val="20"/>
        </w:rPr>
        <w:t xml:space="preserve">. </w:t>
      </w:r>
    </w:p>
    <w:p w:rsidR="00AA7600" w:rsidRPr="003B5FA7" w:rsidRDefault="00AA7600" w:rsidP="003B5FA7">
      <w:pPr>
        <w:spacing w:before="200" w:after="57"/>
        <w:jc w:val="center"/>
        <w:rPr>
          <w:rFonts w:cs="Calibri"/>
          <w:sz w:val="24"/>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527009">
      <w:pPr>
        <w:numPr>
          <w:ilvl w:val="2"/>
          <w:numId w:val="13"/>
        </w:numPr>
        <w:shd w:val="clear" w:color="auto" w:fill="FFFFFF"/>
        <w:autoSpaceDE w:val="0"/>
        <w:spacing w:before="57" w:after="113"/>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Default="00AA7600">
      <w:pPr>
        <w:numPr>
          <w:ilvl w:val="2"/>
          <w:numId w:val="13"/>
        </w:numPr>
        <w:shd w:val="clear" w:color="auto" w:fill="FFFFFF"/>
        <w:autoSpaceDE w:val="0"/>
        <w:spacing w:after="113"/>
        <w:ind w:left="567" w:hanging="567"/>
        <w:jc w:val="both"/>
        <w:rPr>
          <w:rFonts w:eastAsia="Calibri" w:cs="Calibri"/>
          <w:szCs w:val="20"/>
        </w:rPr>
      </w:pPr>
      <w:r>
        <w:rPr>
          <w:rFonts w:eastAsia="Calibri" w:cs="Calibri"/>
          <w:szCs w:val="20"/>
        </w:rPr>
        <w:t>O předání díla zhotovitelem objednateli bude vyhotoven protokol</w:t>
      </w:r>
      <w:r>
        <w:t xml:space="preserve"> - zápis o předání a převzetí díla.</w:t>
      </w:r>
    </w:p>
    <w:p w:rsidR="00AA7600" w:rsidRPr="003B5FA7" w:rsidRDefault="00AA7600" w:rsidP="003B5FA7">
      <w:pPr>
        <w:spacing w:before="200" w:after="57"/>
        <w:jc w:val="center"/>
        <w:rPr>
          <w:rFonts w:cs="Calibri"/>
          <w:sz w:val="24"/>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w:t>
      </w:r>
      <w:bookmarkStart w:id="0" w:name="_GoBack"/>
      <w:bookmarkEnd w:id="0"/>
      <w:r>
        <w:rPr>
          <w:rFonts w:eastAsia="Calibri" w:cs="Calibri"/>
          <w:szCs w:val="20"/>
        </w:rPr>
        <w:t>ak jednostranně nevýhodných podmínek.</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Nedílnou součástí smlouvy jsou tyto přílohy:</w:t>
      </w:r>
    </w:p>
    <w:p w:rsidR="00AA7600" w:rsidRDefault="00AA7600">
      <w:pPr>
        <w:shd w:val="clear" w:color="auto" w:fill="FFFFFF"/>
        <w:autoSpaceDE w:val="0"/>
        <w:spacing w:after="113"/>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Default="00AA7600" w:rsidP="0031558D">
      <w:pPr>
        <w:numPr>
          <w:ilvl w:val="2"/>
          <w:numId w:val="8"/>
        </w:numPr>
        <w:shd w:val="clear" w:color="auto" w:fill="FFFFFF"/>
        <w:autoSpaceDE w:val="0"/>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AA7600" w:rsidRDefault="00AA7600">
      <w:pPr>
        <w:tabs>
          <w:tab w:val="left" w:pos="1100"/>
        </w:tabs>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892535" w:rsidRDefault="00892535">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892535" w:rsidRDefault="00892535">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790F07">
              <w:rPr>
                <w:rFonts w:cs="Calibri"/>
                <w:szCs w:val="20"/>
              </w:rPr>
              <w:t xml:space="preserve">Vaverková </w:t>
            </w:r>
            <w:r>
              <w:rPr>
                <w:rFonts w:cs="Calibri"/>
                <w:szCs w:val="20"/>
              </w:rPr>
              <w:t>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rsidP="0031558D">
      <w:pPr>
        <w:shd w:val="clear" w:color="auto" w:fill="FFFFFF"/>
        <w:tabs>
          <w:tab w:val="left" w:pos="1100"/>
        </w:tabs>
        <w:autoSpaceDE w:val="0"/>
        <w:spacing w:after="113"/>
        <w:jc w:val="both"/>
      </w:pPr>
    </w:p>
    <w:sectPr w:rsidR="00AA7600" w:rsidSect="003D7079">
      <w:footerReference w:type="default" r:id="rId9"/>
      <w:pgSz w:w="11906" w:h="16838"/>
      <w:pgMar w:top="851" w:right="851" w:bottom="851"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001" w:rsidRDefault="00626001">
      <w:r>
        <w:separator/>
      </w:r>
    </w:p>
  </w:endnote>
  <w:endnote w:type="continuationSeparator" w:id="0">
    <w:p w:rsidR="00626001" w:rsidRDefault="0062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68" w:rsidRDefault="005D07DD">
    <w:pPr>
      <w:pStyle w:val="Zpat"/>
      <w:jc w:val="center"/>
    </w:pPr>
    <w:r>
      <w:fldChar w:fldCharType="begin"/>
    </w:r>
    <w:r>
      <w:instrText xml:space="preserve"> PAGE </w:instrText>
    </w:r>
    <w:r>
      <w:fldChar w:fldCharType="separate"/>
    </w:r>
    <w:r w:rsidR="003404BA">
      <w:rPr>
        <w:noProof/>
      </w:rPr>
      <w:t>5</w:t>
    </w:r>
    <w:r>
      <w:rPr>
        <w:noProof/>
      </w:rPr>
      <w:fldChar w:fldCharType="end"/>
    </w:r>
    <w:r w:rsidR="00624368">
      <w:t>/</w:t>
    </w:r>
    <w:fldSimple w:instr=" NUMPAGES \*Arabic ">
      <w:r w:rsidR="003404BA">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001" w:rsidRDefault="00626001">
      <w:r>
        <w:separator/>
      </w:r>
    </w:p>
  </w:footnote>
  <w:footnote w:type="continuationSeparator" w:id="0">
    <w:p w:rsidR="00626001" w:rsidRDefault="00626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13D2EE1"/>
    <w:multiLevelType w:val="multilevel"/>
    <w:tmpl w:val="6862DDE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D2B12F6"/>
    <w:multiLevelType w:val="hybridMultilevel"/>
    <w:tmpl w:val="9E7EBB94"/>
    <w:lvl w:ilvl="0" w:tplc="66CE467E">
      <w:numFmt w:val="bullet"/>
      <w:lvlText w:val="-"/>
      <w:lvlJc w:val="left"/>
      <w:pPr>
        <w:ind w:left="720" w:hanging="360"/>
      </w:pPr>
      <w:rPr>
        <w:rFonts w:ascii="Calibri" w:eastAsia="Lucida Sans Unicode" w:hAnsi="Calibri" w:cs="Mang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7C3CDD"/>
    <w:multiLevelType w:val="hybridMultilevel"/>
    <w:tmpl w:val="2D70A0BA"/>
    <w:lvl w:ilvl="0" w:tplc="6C40724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FD03ECA"/>
    <w:multiLevelType w:val="hybridMultilevel"/>
    <w:tmpl w:val="FE70DAD6"/>
    <w:lvl w:ilvl="0" w:tplc="C312411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33D57"/>
    <w:rsid w:val="00025466"/>
    <w:rsid w:val="00035A6C"/>
    <w:rsid w:val="000A61AE"/>
    <w:rsid w:val="000A630A"/>
    <w:rsid w:val="000C2D5E"/>
    <w:rsid w:val="00140A74"/>
    <w:rsid w:val="0016534C"/>
    <w:rsid w:val="00275C88"/>
    <w:rsid w:val="002B4656"/>
    <w:rsid w:val="002D36D1"/>
    <w:rsid w:val="0031558D"/>
    <w:rsid w:val="003404BA"/>
    <w:rsid w:val="00356D44"/>
    <w:rsid w:val="003774F4"/>
    <w:rsid w:val="003A473A"/>
    <w:rsid w:val="003B5FA7"/>
    <w:rsid w:val="003D7079"/>
    <w:rsid w:val="00436EAA"/>
    <w:rsid w:val="004378F9"/>
    <w:rsid w:val="00463890"/>
    <w:rsid w:val="004A16D3"/>
    <w:rsid w:val="004A4147"/>
    <w:rsid w:val="004A62A6"/>
    <w:rsid w:val="004E1CD0"/>
    <w:rsid w:val="00527009"/>
    <w:rsid w:val="00573A8C"/>
    <w:rsid w:val="005D07DD"/>
    <w:rsid w:val="00624368"/>
    <w:rsid w:val="00626001"/>
    <w:rsid w:val="006B17E6"/>
    <w:rsid w:val="006D71D1"/>
    <w:rsid w:val="00752EAA"/>
    <w:rsid w:val="00790F07"/>
    <w:rsid w:val="007A0191"/>
    <w:rsid w:val="007B4BB5"/>
    <w:rsid w:val="00882CE6"/>
    <w:rsid w:val="00892535"/>
    <w:rsid w:val="00894EB2"/>
    <w:rsid w:val="008B1EEE"/>
    <w:rsid w:val="008B2B60"/>
    <w:rsid w:val="00916D6E"/>
    <w:rsid w:val="00971008"/>
    <w:rsid w:val="009B4A46"/>
    <w:rsid w:val="009F6E71"/>
    <w:rsid w:val="00AA7600"/>
    <w:rsid w:val="00AC0587"/>
    <w:rsid w:val="00AF095E"/>
    <w:rsid w:val="00B0048B"/>
    <w:rsid w:val="00B33D57"/>
    <w:rsid w:val="00B8162B"/>
    <w:rsid w:val="00BE3452"/>
    <w:rsid w:val="00BF7C68"/>
    <w:rsid w:val="00C14F57"/>
    <w:rsid w:val="00C567A9"/>
    <w:rsid w:val="00C7627F"/>
    <w:rsid w:val="00CB055C"/>
    <w:rsid w:val="00CB77E9"/>
    <w:rsid w:val="00D74D52"/>
    <w:rsid w:val="00DA70C7"/>
    <w:rsid w:val="00DE32C6"/>
    <w:rsid w:val="00E12C8D"/>
    <w:rsid w:val="00E252BF"/>
    <w:rsid w:val="00E610CF"/>
    <w:rsid w:val="00E631FF"/>
    <w:rsid w:val="00E6706A"/>
    <w:rsid w:val="00E835F1"/>
    <w:rsid w:val="00EB5A03"/>
    <w:rsid w:val="00F73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 w:type="numbering" w:customStyle="1" w:styleId="WW8Num3">
    <w:name w:val="WW8Num3"/>
    <w:basedOn w:val="Bezseznamu"/>
    <w:rsid w:val="00790F07"/>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8Num1z0">
    <w:name w:val="WW8Num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AA36D9-4C61-4874-BC44-FE0EE159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2550</Words>
  <Characters>15048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4</cp:revision>
  <cp:lastPrinted>2019-11-22T13:31:00Z</cp:lastPrinted>
  <dcterms:created xsi:type="dcterms:W3CDTF">2019-11-22T11:49:00Z</dcterms:created>
  <dcterms:modified xsi:type="dcterms:W3CDTF">2020-01-10T08:43:00Z</dcterms:modified>
</cp:coreProperties>
</file>