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E161AB" w:rsidP="00B660EE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V</w:t>
      </w:r>
      <w:r w:rsidR="0005795E">
        <w:rPr>
          <w:rFonts w:cs="Arial"/>
          <w:b/>
          <w:bCs/>
          <w:sz w:val="26"/>
          <w:szCs w:val="26"/>
        </w:rPr>
        <w:t>ysoké nad Jizerou – nátěr a oprava střešní krytiny na budově MŠ Vysoké nad Jizerou</w:t>
      </w:r>
    </w:p>
    <w:p w:rsidR="001B1534" w:rsidRDefault="001B1534" w:rsidP="00B660EE">
      <w:pPr>
        <w:pStyle w:val="Standard"/>
        <w:spacing w:after="120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</w:t>
      </w:r>
      <w:r w:rsidR="0005795E">
        <w:rPr>
          <w:rFonts w:eastAsia="Calibri-Bold" w:cs="Calibri-Bold"/>
          <w:b/>
          <w:bCs/>
          <w:sz w:val="26"/>
          <w:szCs w:val="26"/>
        </w:rPr>
        <w:t>20002</w:t>
      </w:r>
    </w:p>
    <w:p w:rsidR="001B1534" w:rsidRDefault="001B1534" w:rsidP="00B660EE">
      <w:pPr>
        <w:pStyle w:val="Standard"/>
        <w:spacing w:after="12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506C0D">
        <w:rPr>
          <w:rFonts w:cs="Arial"/>
          <w:iCs/>
          <w:szCs w:val="20"/>
        </w:rPr>
        <w:t>III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D56AB9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D56AB9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D56AB9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D56AB9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Jaroslav Nechanický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tel.: </w:t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481 593 </w:t>
      </w:r>
      <w:r w:rsidR="00D56AB9"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mobil.: </w:t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605 976 887</w:t>
      </w:r>
    </w:p>
    <w:p w:rsidR="001B1534" w:rsidRDefault="00996C30" w:rsidP="00B660EE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mistostarosta@vysokenadjizerou.cz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Jedná se o veřejnou zakázku malého rozsahu I</w:t>
      </w:r>
      <w:r w:rsidR="00506C0D">
        <w:rPr>
          <w:rFonts w:eastAsia="Calibri" w:cs="Arial"/>
          <w:szCs w:val="20"/>
        </w:rPr>
        <w:t>II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05795E" w:rsidRDefault="00996C30" w:rsidP="0005795E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="0005795E">
        <w:rPr>
          <w:rFonts w:cs="Arial"/>
          <w:b/>
          <w:bCs/>
          <w:szCs w:val="20"/>
        </w:rPr>
        <w:t>Vysoké nad Jizerou – nátěr a oprava střešní krytiny na budově MŠ Vysoké nad Jizerou</w:t>
      </w:r>
    </w:p>
    <w:p w:rsidR="00D56AB9" w:rsidRPr="00B660EE" w:rsidRDefault="0005795E" w:rsidP="0005795E">
      <w:pPr>
        <w:pStyle w:val="Standard"/>
        <w:spacing w:after="57"/>
        <w:jc w:val="both"/>
        <w:rPr>
          <w:szCs w:val="20"/>
        </w:rPr>
      </w:pPr>
      <w:r>
        <w:rPr>
          <w:rFonts w:eastAsia="Calibri" w:cs="Arial"/>
          <w:b/>
          <w:bCs/>
          <w:szCs w:val="20"/>
        </w:rPr>
        <w:t xml:space="preserve">Předmětem zakázky </w:t>
      </w:r>
      <w:r w:rsidRPr="00C032B5">
        <w:rPr>
          <w:rFonts w:asciiTheme="minorHAnsi" w:hAnsiTheme="minorHAnsi" w:cstheme="minorHAnsi"/>
          <w:szCs w:val="20"/>
        </w:rPr>
        <w:t xml:space="preserve">je </w:t>
      </w:r>
      <w:r w:rsidRPr="00C032B5">
        <w:rPr>
          <w:rFonts w:asciiTheme="minorHAnsi" w:eastAsia="MS Mincho" w:hAnsiTheme="minorHAnsi" w:cstheme="minorHAnsi"/>
          <w:szCs w:val="20"/>
        </w:rPr>
        <w:t>mechanické očištění krytiny a její nátěr</w:t>
      </w:r>
      <w:r>
        <w:rPr>
          <w:rFonts w:asciiTheme="minorHAnsi" w:eastAsia="MS Mincho" w:hAnsiTheme="minorHAnsi" w:cstheme="minorHAnsi"/>
          <w:szCs w:val="20"/>
        </w:rPr>
        <w:t xml:space="preserve"> (min. 2x)</w:t>
      </w:r>
      <w:r w:rsidRPr="00C032B5">
        <w:rPr>
          <w:rFonts w:asciiTheme="minorHAnsi" w:eastAsia="MS Mincho" w:hAnsiTheme="minorHAnsi" w:cstheme="minorHAnsi"/>
          <w:szCs w:val="20"/>
        </w:rPr>
        <w:t>, včetně výměny atikových plechů (součástí je také spojovací materiál s přesunem hmot a doprava). Hlavní střecha je o půdorysném rozměru 549 m</w:t>
      </w:r>
      <w:r w:rsidRPr="00C032B5">
        <w:rPr>
          <w:rFonts w:asciiTheme="minorHAnsi" w:eastAsia="MS Mincho" w:hAnsiTheme="minorHAnsi" w:cstheme="minorHAnsi"/>
          <w:szCs w:val="20"/>
          <w:vertAlign w:val="superscript"/>
        </w:rPr>
        <w:t>2</w:t>
      </w:r>
      <w:r w:rsidRPr="00C032B5">
        <w:rPr>
          <w:rFonts w:asciiTheme="minorHAnsi" w:eastAsia="MS Mincho" w:hAnsiTheme="minorHAnsi" w:cstheme="minorHAnsi"/>
          <w:szCs w:val="20"/>
        </w:rPr>
        <w:t xml:space="preserve"> a výměna </w:t>
      </w:r>
      <w:r w:rsidRPr="006D0DA1">
        <w:rPr>
          <w:rFonts w:asciiTheme="minorHAnsi" w:eastAsia="MS Mincho" w:hAnsiTheme="minorHAnsi" w:cstheme="minorHAnsi"/>
          <w:szCs w:val="20"/>
        </w:rPr>
        <w:t>atikových plechů je v délce 40 m. Zároveň budou opraveny také nadstřešní části 2 komínů</w:t>
      </w:r>
      <w:r>
        <w:rPr>
          <w:rFonts w:asciiTheme="minorHAnsi" w:hAnsiTheme="minorHAnsi" w:cstheme="minorHAnsi"/>
          <w:szCs w:val="20"/>
        </w:rPr>
        <w:t xml:space="preserve">. </w:t>
      </w:r>
      <w:r w:rsidR="00D56AB9" w:rsidRPr="00D56AB9">
        <w:rPr>
          <w:szCs w:val="20"/>
        </w:rPr>
        <w:t xml:space="preserve">Celý průběh bude dokumentován a následně z něj bude pořízena závěrečná zpráva. </w:t>
      </w:r>
      <w:r w:rsidR="00D56AB9" w:rsidRPr="00D56AB9">
        <w:rPr>
          <w:rFonts w:eastAsia="Calibri" w:cs="Calibri"/>
          <w:bCs/>
          <w:szCs w:val="20"/>
        </w:rPr>
        <w:t>Veškeré stavební práce budou provedeny dle „Všeobecných standardů staveb“.</w:t>
      </w:r>
    </w:p>
    <w:p w:rsidR="001B1534" w:rsidRPr="00D56AB9" w:rsidRDefault="001B1534" w:rsidP="00D56AB9">
      <w:pPr>
        <w:pStyle w:val="Standard"/>
        <w:spacing w:before="120" w:after="120"/>
        <w:jc w:val="both"/>
        <w:rPr>
          <w:b/>
          <w:bCs/>
          <w:szCs w:val="20"/>
        </w:rPr>
      </w:pPr>
      <w:r w:rsidRPr="00D56AB9">
        <w:rPr>
          <w:rFonts w:eastAsia="Calibri" w:cs="Calibri"/>
          <w:b/>
          <w:bCs/>
          <w:szCs w:val="20"/>
        </w:rPr>
        <w:t>Pro stanovení nabídkové ceny j</w:t>
      </w:r>
      <w:r w:rsidR="00C4384B" w:rsidRPr="00D56AB9">
        <w:rPr>
          <w:rFonts w:eastAsia="Calibri" w:cs="Calibri"/>
          <w:b/>
          <w:bCs/>
          <w:szCs w:val="20"/>
        </w:rPr>
        <w:t>e</w:t>
      </w:r>
      <w:r w:rsidRPr="00D56AB9">
        <w:rPr>
          <w:rFonts w:eastAsia="Calibri" w:cs="Calibri"/>
          <w:b/>
          <w:bCs/>
          <w:szCs w:val="20"/>
        </w:rPr>
        <w:t xml:space="preserve"> </w:t>
      </w:r>
      <w:r w:rsidR="004C6F86" w:rsidRPr="00D56AB9">
        <w:rPr>
          <w:rFonts w:eastAsia="Calibri" w:cs="Calibri"/>
          <w:b/>
          <w:bCs/>
          <w:szCs w:val="20"/>
        </w:rPr>
        <w:t>závazným p</w:t>
      </w:r>
      <w:r w:rsidRPr="00D56AB9">
        <w:rPr>
          <w:rFonts w:eastAsia="Calibri" w:cs="Calibri"/>
          <w:b/>
          <w:bCs/>
          <w:szCs w:val="20"/>
        </w:rPr>
        <w:t>odklad</w:t>
      </w:r>
      <w:r w:rsidR="004C6F86" w:rsidRPr="00D56AB9">
        <w:rPr>
          <w:rFonts w:eastAsia="Calibri" w:cs="Calibri"/>
          <w:b/>
          <w:bCs/>
          <w:szCs w:val="20"/>
        </w:rPr>
        <w:t>em</w:t>
      </w:r>
      <w:r w:rsidRPr="00D56AB9">
        <w:rPr>
          <w:rFonts w:eastAsia="Calibri" w:cs="Calibri"/>
          <w:b/>
          <w:bCs/>
          <w:szCs w:val="20"/>
        </w:rPr>
        <w:t xml:space="preserve"> výkaz výměr</w:t>
      </w:r>
      <w:r w:rsidR="004C6F86" w:rsidRPr="00D56AB9">
        <w:rPr>
          <w:rFonts w:eastAsia="Calibri" w:cs="Calibri"/>
          <w:b/>
          <w:bCs/>
          <w:szCs w:val="20"/>
        </w:rPr>
        <w:t>.</w:t>
      </w:r>
      <w:r w:rsidRPr="00D56AB9">
        <w:rPr>
          <w:rFonts w:eastAsia="Calibri" w:cs="Arial"/>
          <w:b/>
          <w:bCs/>
          <w:szCs w:val="20"/>
        </w:rPr>
        <w:t xml:space="preserve">  </w:t>
      </w:r>
    </w:p>
    <w:p w:rsidR="001B1534" w:rsidRPr="00D56AB9" w:rsidRDefault="001B1534" w:rsidP="00D56AB9">
      <w:pPr>
        <w:pStyle w:val="Standard"/>
        <w:autoSpaceDE w:val="0"/>
        <w:spacing w:before="120" w:after="120"/>
        <w:jc w:val="both"/>
        <w:rPr>
          <w:rFonts w:eastAsia="Calibri" w:cs="Arial"/>
          <w:b/>
          <w:bCs/>
          <w:color w:val="000000"/>
          <w:szCs w:val="20"/>
        </w:rPr>
      </w:pPr>
      <w:r w:rsidRPr="00D56AB9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D56AB9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1B1534">
      <w:pPr>
        <w:pStyle w:val="Standard"/>
        <w:spacing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D56AB9">
        <w:rPr>
          <w:rFonts w:eastAsia="Calibri" w:cs="Arial"/>
          <w:szCs w:val="20"/>
        </w:rPr>
        <w:t xml:space="preserve">Budova </w:t>
      </w:r>
      <w:r w:rsidR="0005795E">
        <w:rPr>
          <w:rFonts w:eastAsia="Calibri" w:cs="Arial"/>
          <w:szCs w:val="20"/>
        </w:rPr>
        <w:t>MŠ Vysoké nad Jizerou</w:t>
      </w:r>
      <w:r w:rsidR="00D56AB9">
        <w:rPr>
          <w:rFonts w:eastAsia="Calibri" w:cs="Arial"/>
          <w:szCs w:val="20"/>
        </w:rPr>
        <w:t xml:space="preserve"> </w:t>
      </w:r>
      <w:r w:rsidR="006F18CA">
        <w:rPr>
          <w:rFonts w:eastAsia="Calibri" w:cs="Arial"/>
          <w:szCs w:val="20"/>
        </w:rPr>
        <w:t xml:space="preserve">– </w:t>
      </w:r>
      <w:r w:rsidR="00D56AB9">
        <w:rPr>
          <w:rFonts w:eastAsia="Calibri" w:cs="Arial"/>
          <w:szCs w:val="20"/>
        </w:rPr>
        <w:t>ul</w:t>
      </w:r>
      <w:r w:rsidR="0005795E">
        <w:rPr>
          <w:rFonts w:eastAsia="Calibri" w:cs="Arial"/>
          <w:szCs w:val="20"/>
        </w:rPr>
        <w:t>ice Věnceslava Metelky 323</w:t>
      </w:r>
      <w:r w:rsidR="00D56AB9">
        <w:rPr>
          <w:rFonts w:eastAsia="Calibri" w:cs="Arial"/>
          <w:szCs w:val="20"/>
        </w:rPr>
        <w:t xml:space="preserve">, Vysoké nad Jizerou. </w:t>
      </w:r>
    </w:p>
    <w:p w:rsidR="001B1534" w:rsidRDefault="001B1534" w:rsidP="00D56AB9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Default="001B1534" w:rsidP="001B1534">
      <w:pPr>
        <w:pStyle w:val="Standard"/>
        <w:spacing w:before="57"/>
        <w:jc w:val="both"/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</w:p>
    <w:p w:rsidR="001B1534" w:rsidRDefault="001B1534" w:rsidP="00D56AB9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FE19BF" w:rsidRDefault="00CA548C" w:rsidP="00CF31E3">
      <w:pPr>
        <w:pStyle w:val="Standard"/>
        <w:numPr>
          <w:ilvl w:val="0"/>
          <w:numId w:val="17"/>
        </w:numPr>
        <w:autoSpaceDE w:val="0"/>
        <w:spacing w:before="57"/>
        <w:ind w:left="709" w:hanging="29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 xml:space="preserve">práce mohou začít </w:t>
      </w:r>
      <w:r w:rsidR="00B660EE">
        <w:rPr>
          <w:rFonts w:eastAsia="Calibri" w:cs="Arial"/>
          <w:szCs w:val="20"/>
        </w:rPr>
        <w:t>neprodleně</w:t>
      </w:r>
      <w:r w:rsidR="001B1534">
        <w:rPr>
          <w:rFonts w:eastAsia="Calibri" w:cs="Arial"/>
          <w:szCs w:val="20"/>
        </w:rPr>
        <w:t xml:space="preserve"> po podpisu smlouvy o dílo s vybraným zhotovitelem </w:t>
      </w:r>
      <w:r w:rsidR="001B1534" w:rsidRPr="00FE19BF">
        <w:rPr>
          <w:rFonts w:eastAsia="Calibri" w:cs="Arial"/>
          <w:szCs w:val="20"/>
        </w:rPr>
        <w:t>(</w:t>
      </w:r>
      <w:r w:rsidR="00CF31E3">
        <w:rPr>
          <w:rFonts w:eastAsia="Calibri" w:cs="Arial"/>
          <w:szCs w:val="20"/>
        </w:rPr>
        <w:t xml:space="preserve">nejdříve však </w:t>
      </w:r>
      <w:r w:rsidR="007C5DEA" w:rsidRPr="00D56AB9">
        <w:rPr>
          <w:rFonts w:eastAsia="Calibri" w:cs="Arial"/>
          <w:b/>
          <w:szCs w:val="20"/>
        </w:rPr>
        <w:t>1.</w:t>
      </w:r>
      <w:r w:rsidR="00CF31E3" w:rsidRPr="00D56AB9">
        <w:rPr>
          <w:rFonts w:eastAsia="Calibri" w:cs="Arial"/>
          <w:b/>
          <w:szCs w:val="20"/>
        </w:rPr>
        <w:t> </w:t>
      </w:r>
      <w:r w:rsidR="0005795E">
        <w:rPr>
          <w:rFonts w:eastAsia="Calibri" w:cs="Arial"/>
          <w:b/>
          <w:szCs w:val="20"/>
        </w:rPr>
        <w:t>července</w:t>
      </w:r>
      <w:r w:rsidR="001B1534" w:rsidRPr="00D56AB9">
        <w:rPr>
          <w:rFonts w:eastAsia="Calibri" w:cs="Arial"/>
          <w:b/>
          <w:szCs w:val="20"/>
        </w:rPr>
        <w:t xml:space="preserve"> 20</w:t>
      </w:r>
      <w:r w:rsidR="0005795E">
        <w:rPr>
          <w:rFonts w:eastAsia="Calibri" w:cs="Arial"/>
          <w:b/>
          <w:szCs w:val="20"/>
        </w:rPr>
        <w:t>20</w:t>
      </w:r>
      <w:r w:rsidR="001B1534" w:rsidRPr="00FE19BF">
        <w:rPr>
          <w:rFonts w:eastAsia="Calibri" w:cs="Arial"/>
          <w:szCs w:val="20"/>
        </w:rPr>
        <w:t>)</w:t>
      </w:r>
    </w:p>
    <w:p w:rsidR="001B1534" w:rsidRDefault="004C6F86" w:rsidP="00B660EE">
      <w:pPr>
        <w:pStyle w:val="Standard"/>
        <w:numPr>
          <w:ilvl w:val="0"/>
          <w:numId w:val="17"/>
        </w:numPr>
        <w:autoSpaceDE w:val="0"/>
        <w:spacing w:after="120"/>
        <w:ind w:left="-11" w:firstLine="414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je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do </w:t>
      </w:r>
      <w:r w:rsidR="00C87FE0">
        <w:rPr>
          <w:rFonts w:eastAsia="Calibri" w:cs="Arial"/>
          <w:b/>
          <w:szCs w:val="20"/>
        </w:rPr>
        <w:t>3</w:t>
      </w:r>
      <w:r w:rsidR="0005795E">
        <w:rPr>
          <w:rFonts w:eastAsia="Calibri" w:cs="Arial"/>
          <w:b/>
          <w:szCs w:val="20"/>
        </w:rPr>
        <w:t>1</w:t>
      </w:r>
      <w:r w:rsidR="007C5DEA" w:rsidRPr="00D56AB9">
        <w:rPr>
          <w:rFonts w:eastAsia="Calibri" w:cs="Arial"/>
          <w:b/>
          <w:szCs w:val="20"/>
        </w:rPr>
        <w:t xml:space="preserve">. </w:t>
      </w:r>
      <w:r w:rsidR="0005795E">
        <w:rPr>
          <w:rFonts w:eastAsia="Calibri" w:cs="Arial"/>
          <w:b/>
          <w:szCs w:val="20"/>
        </w:rPr>
        <w:t>ř</w:t>
      </w:r>
      <w:r w:rsidR="00C87FE0">
        <w:rPr>
          <w:rFonts w:eastAsia="Calibri" w:cs="Arial"/>
          <w:b/>
          <w:szCs w:val="20"/>
        </w:rPr>
        <w:t>í</w:t>
      </w:r>
      <w:r w:rsidR="0005795E">
        <w:rPr>
          <w:rFonts w:eastAsia="Calibri" w:cs="Arial"/>
          <w:b/>
          <w:szCs w:val="20"/>
        </w:rPr>
        <w:t>jna</w:t>
      </w:r>
      <w:r w:rsidR="007C5DEA" w:rsidRPr="00D56AB9">
        <w:rPr>
          <w:rFonts w:eastAsia="Calibri" w:cs="Arial"/>
          <w:b/>
          <w:szCs w:val="20"/>
        </w:rPr>
        <w:t xml:space="preserve"> </w:t>
      </w:r>
      <w:r w:rsidR="006F18CA" w:rsidRPr="00D56AB9">
        <w:rPr>
          <w:rFonts w:eastAsia="Calibri" w:cs="Arial"/>
          <w:b/>
          <w:szCs w:val="20"/>
        </w:rPr>
        <w:t>20</w:t>
      </w:r>
      <w:r w:rsidR="0005795E">
        <w:rPr>
          <w:rFonts w:eastAsia="Calibri" w:cs="Arial"/>
          <w:b/>
          <w:szCs w:val="20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</w:p>
    <w:p w:rsidR="001B1534" w:rsidRDefault="001B1534" w:rsidP="00581EC1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</w:t>
      </w:r>
      <w:proofErr w:type="gramStart"/>
      <w:r>
        <w:rPr>
          <w:rFonts w:eastAsia="Calibri" w:cs="Calibri"/>
          <w:color w:val="000000"/>
          <w:szCs w:val="20"/>
        </w:rPr>
        <w:t>formátu .</w:t>
      </w:r>
      <w:proofErr w:type="spellStart"/>
      <w:r>
        <w:rPr>
          <w:rFonts w:eastAsia="Calibri" w:cs="Calibri"/>
          <w:color w:val="000000"/>
          <w:szCs w:val="20"/>
        </w:rPr>
        <w:t>xls</w:t>
      </w:r>
      <w:proofErr w:type="spellEnd"/>
      <w:proofErr w:type="gramEnd"/>
      <w:r>
        <w:rPr>
          <w:rFonts w:eastAsia="Calibri" w:cs="Calibri"/>
          <w:color w:val="000000"/>
          <w:szCs w:val="20"/>
        </w:rPr>
        <w:t xml:space="preserve"> (003_Kryci_list_vzor.xls), který je </w:t>
      </w:r>
      <w:r>
        <w:rPr>
          <w:rFonts w:eastAsia="Calibri" w:cs="Calibri"/>
          <w:color w:val="000000"/>
          <w:szCs w:val="20"/>
        </w:rPr>
        <w:lastRenderedPageBreak/>
        <w:t>součástí zadávací dokumentace.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</w:p>
    <w:p w:rsidR="001B1534" w:rsidRDefault="001B1534" w:rsidP="00581EC1">
      <w:pPr>
        <w:pStyle w:val="Standard"/>
        <w:spacing w:before="57"/>
        <w:jc w:val="both"/>
      </w:pPr>
      <w:r w:rsidRPr="00B81463">
        <w:rPr>
          <w:b/>
        </w:rPr>
        <w:t xml:space="preserve">Nabídková cena </w:t>
      </w:r>
      <w:r w:rsidR="004C6F86" w:rsidRPr="00B81463">
        <w:rPr>
          <w:b/>
        </w:rPr>
        <w:t>bez DPH</w:t>
      </w:r>
      <w:r w:rsidR="004C6F86">
        <w:t xml:space="preserve"> </w:t>
      </w:r>
      <w:r>
        <w:t>je předmětem hodnocení.</w:t>
      </w:r>
    </w:p>
    <w:p w:rsidR="00B81463" w:rsidRDefault="00B81463" w:rsidP="00B81463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B660EE">
      <w:pPr>
        <w:pStyle w:val="Standard"/>
        <w:spacing w:before="57" w:after="12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2E4618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1B1534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655AFF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B660EE">
      <w:pPr>
        <w:pStyle w:val="Standard"/>
        <w:tabs>
          <w:tab w:val="left" w:pos="1488"/>
        </w:tabs>
        <w:autoSpaceDE w:val="0"/>
        <w:spacing w:after="120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CF31E3">
        <w:rPr>
          <w:rFonts w:eastAsia="ArialMT, 'Times New Roman'" w:cs="Arial"/>
          <w:szCs w:val="20"/>
        </w:rPr>
        <w:t xml:space="preserve">minimálně </w:t>
      </w:r>
      <w:r w:rsidR="00CF31E3" w:rsidRPr="00CF31E3">
        <w:rPr>
          <w:rFonts w:eastAsia="ArialMT, 'Times New Roman'" w:cs="Arial"/>
          <w:szCs w:val="20"/>
        </w:rPr>
        <w:t>3</w:t>
      </w:r>
      <w:r w:rsidRPr="00CF31E3">
        <w:rPr>
          <w:rFonts w:eastAsia="ArialMT, 'Times New Roman'" w:cs="Arial"/>
          <w:szCs w:val="20"/>
        </w:rPr>
        <w:t> zakázek obdobného charakteru (</w:t>
      </w:r>
      <w:r w:rsidR="00003CDC" w:rsidRPr="00CF31E3">
        <w:t xml:space="preserve">reference na </w:t>
      </w:r>
      <w:r w:rsidR="00B81463" w:rsidRPr="00CF31E3">
        <w:t>opravu střech</w:t>
      </w:r>
      <w:r w:rsidR="00003CDC" w:rsidRPr="00CF31E3">
        <w:t xml:space="preserve">, každé v hodnotě minimálně </w:t>
      </w:r>
      <w:r w:rsidR="004A58FC">
        <w:t>2</w:t>
      </w:r>
      <w:r w:rsidR="00CF31E3" w:rsidRPr="00CF31E3">
        <w:t>0</w:t>
      </w:r>
      <w:r w:rsidR="00B81463" w:rsidRPr="00CF31E3">
        <w:t>0</w:t>
      </w:r>
      <w:r w:rsidR="00003CDC" w:rsidRPr="00CF31E3">
        <w:t>.000 Kč</w:t>
      </w:r>
      <w:r w:rsidR="00DC7EEA" w:rsidRPr="00CF31E3">
        <w:rPr>
          <w:rFonts w:eastAsia="ArialMT, 'Times New Roman'" w:cs="Arial"/>
          <w:szCs w:val="20"/>
        </w:rPr>
        <w:t>)</w:t>
      </w:r>
      <w:r w:rsidRPr="00CF31E3">
        <w:rPr>
          <w:rFonts w:eastAsia="ArialMT, 'Times New Roman'" w:cs="Arial"/>
          <w:szCs w:val="20"/>
        </w:rPr>
        <w:t>, které uchazeč vykonal v průběhu posledních 5 let.</w:t>
      </w:r>
      <w:r>
        <w:rPr>
          <w:rFonts w:eastAsia="ArialMT, 'Times New Roman'" w:cs="Arial"/>
          <w:szCs w:val="20"/>
        </w:rPr>
        <w:t xml:space="preserve"> Tyto příklady musí obsahovat údaje o objednateli, kontaktní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lastRenderedPageBreak/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67C25">
        <w:rPr>
          <w:rFonts w:eastAsia="ArialMT, 'Times New Roman'" w:cs="Arial"/>
          <w:szCs w:val="20"/>
        </w:rPr>
        <w:t>doc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4B1D26">
      <w:pPr>
        <w:pStyle w:val="Standard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p w:rsidR="007C5DEA" w:rsidRDefault="007C5DEA" w:rsidP="001B1534">
      <w:pPr>
        <w:pStyle w:val="Standard"/>
        <w:ind w:left="350" w:hanging="363"/>
        <w:jc w:val="both"/>
        <w:rPr>
          <w:rFonts w:eastAsia="Calibr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137/2006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veřejných zakázkách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1B1534" w:rsidRPr="00CF474E" w:rsidRDefault="001B1534" w:rsidP="004B1D26">
      <w:pPr>
        <w:pStyle w:val="Standard"/>
        <w:spacing w:before="57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</w:t>
      </w:r>
      <w:r w:rsidRPr="004A58FC">
        <w:rPr>
          <w:rFonts w:eastAsia="Calibri" w:cs="Calibri"/>
          <w:b/>
          <w:szCs w:val="20"/>
        </w:rPr>
        <w:t xml:space="preserve">výše nabídkové ceny </w:t>
      </w:r>
      <w:r w:rsidR="004A58FC" w:rsidRPr="004A58FC">
        <w:rPr>
          <w:rFonts w:eastAsia="Calibri" w:cs="Calibri"/>
          <w:b/>
          <w:szCs w:val="20"/>
        </w:rPr>
        <w:t>bez</w:t>
      </w:r>
      <w:r w:rsidRPr="004A58FC">
        <w:rPr>
          <w:rFonts w:eastAsia="Calibri" w:cs="Calibri"/>
          <w:b/>
          <w:szCs w:val="20"/>
        </w:rPr>
        <w:t xml:space="preserve">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p w:rsidR="001B1534" w:rsidRDefault="001B1534" w:rsidP="004B1D26">
      <w:pPr>
        <w:pStyle w:val="Standard"/>
        <w:ind w:left="350" w:hanging="36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786228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CF474E" w:rsidRPr="00DD1DBA" w:rsidRDefault="00CF474E" w:rsidP="00CF474E">
      <w:pPr>
        <w:pStyle w:val="Standard"/>
        <w:jc w:val="center"/>
        <w:rPr>
          <w:szCs w:val="20"/>
        </w:rPr>
      </w:pPr>
      <w:r w:rsidRPr="00DD1DBA">
        <w:rPr>
          <w:rFonts w:cs="Arial"/>
          <w:b/>
          <w:bCs/>
          <w:szCs w:val="20"/>
        </w:rPr>
        <w:t xml:space="preserve">„Neotevírat – VZ č. </w:t>
      </w:r>
      <w:r w:rsidR="004A58FC" w:rsidRPr="00DD1DBA">
        <w:rPr>
          <w:rFonts w:eastAsia="Arial" w:cs="Arial"/>
          <w:b/>
          <w:bCs/>
          <w:szCs w:val="20"/>
        </w:rPr>
        <w:t>20</w:t>
      </w:r>
      <w:r w:rsidR="0005795E">
        <w:rPr>
          <w:rFonts w:eastAsia="Arial" w:cs="Arial"/>
          <w:b/>
          <w:bCs/>
          <w:szCs w:val="20"/>
        </w:rPr>
        <w:t>20</w:t>
      </w:r>
      <w:r w:rsidRPr="00DD1DBA">
        <w:rPr>
          <w:rFonts w:eastAsia="Arial" w:cs="Arial"/>
          <w:b/>
          <w:bCs/>
          <w:szCs w:val="20"/>
        </w:rPr>
        <w:t>00</w:t>
      </w:r>
      <w:r w:rsidR="0005795E">
        <w:rPr>
          <w:rFonts w:eastAsia="Arial" w:cs="Arial"/>
          <w:b/>
          <w:bCs/>
          <w:szCs w:val="20"/>
        </w:rPr>
        <w:t>2</w:t>
      </w:r>
      <w:r w:rsidRPr="00DD1DBA">
        <w:rPr>
          <w:rFonts w:eastAsia="Arial" w:cs="Arial"/>
          <w:szCs w:val="20"/>
        </w:rPr>
        <w:t xml:space="preserve"> </w:t>
      </w:r>
      <w:r w:rsidRPr="00184ACA">
        <w:rPr>
          <w:rFonts w:cs="Arial"/>
          <w:b/>
          <w:bCs/>
          <w:szCs w:val="20"/>
        </w:rPr>
        <w:t xml:space="preserve">– </w:t>
      </w:r>
      <w:r w:rsidR="00184ACA" w:rsidRPr="006D0DA1">
        <w:rPr>
          <w:rFonts w:cs="Arial"/>
          <w:b/>
          <w:bCs/>
          <w:szCs w:val="20"/>
        </w:rPr>
        <w:t>Vysoké nad Jizerou</w:t>
      </w:r>
      <w:r w:rsidR="00184ACA">
        <w:rPr>
          <w:rFonts w:cs="Arial"/>
          <w:b/>
          <w:bCs/>
          <w:szCs w:val="20"/>
        </w:rPr>
        <w:t xml:space="preserve"> – nátěr </w:t>
      </w:r>
      <w:r w:rsidR="0005795E">
        <w:rPr>
          <w:rFonts w:cs="Arial"/>
          <w:b/>
          <w:bCs/>
          <w:szCs w:val="20"/>
        </w:rPr>
        <w:t>a oprava střešní krytiny na budově MŠ Vysoké nad Jizerou</w:t>
      </w:r>
      <w:r w:rsidRPr="00DD1DBA">
        <w:rPr>
          <w:rFonts w:cs="Arial"/>
          <w:b/>
          <w:bCs/>
          <w:szCs w:val="20"/>
        </w:rPr>
        <w:t>“</w:t>
      </w:r>
    </w:p>
    <w:p w:rsidR="00CF474E" w:rsidRPr="00DD1DBA" w:rsidRDefault="00CF474E" w:rsidP="00CF474E">
      <w:pPr>
        <w:pStyle w:val="Standard"/>
        <w:jc w:val="both"/>
        <w:rPr>
          <w:rFonts w:cs="Arial"/>
          <w:szCs w:val="20"/>
        </w:rPr>
      </w:pP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bookmarkStart w:id="0" w:name="_GoBack"/>
      <w:bookmarkEnd w:id="0"/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Default="001B1534" w:rsidP="001B1534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4B1D26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B660EE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 xml:space="preserve">Lhůta pro podání nabídek končí </w:t>
      </w:r>
      <w:r w:rsidR="004A58FC">
        <w:rPr>
          <w:rFonts w:eastAsia="Calibri" w:cs="Arial"/>
          <w:b/>
          <w:bCs/>
          <w:szCs w:val="20"/>
        </w:rPr>
        <w:t>v </w:t>
      </w:r>
      <w:r w:rsidR="0005795E">
        <w:rPr>
          <w:rFonts w:eastAsia="Calibri" w:cs="Arial"/>
          <w:b/>
          <w:bCs/>
          <w:szCs w:val="20"/>
        </w:rPr>
        <w:t>úterý</w:t>
      </w:r>
      <w:r w:rsidR="004A58FC">
        <w:rPr>
          <w:rFonts w:eastAsia="Calibri" w:cs="Arial"/>
          <w:b/>
          <w:bCs/>
          <w:szCs w:val="20"/>
        </w:rPr>
        <w:t xml:space="preserve"> 1</w:t>
      </w:r>
      <w:r w:rsidR="0005795E">
        <w:rPr>
          <w:rFonts w:eastAsia="Calibri" w:cs="Arial"/>
          <w:b/>
          <w:bCs/>
          <w:szCs w:val="20"/>
        </w:rPr>
        <w:t>4</w:t>
      </w:r>
      <w:r w:rsidR="004A58FC">
        <w:rPr>
          <w:rFonts w:eastAsia="Calibri" w:cs="Arial"/>
          <w:b/>
          <w:bCs/>
          <w:szCs w:val="20"/>
        </w:rPr>
        <w:t>. 4. 20</w:t>
      </w:r>
      <w:r w:rsidR="0005795E">
        <w:rPr>
          <w:rFonts w:eastAsia="Calibri" w:cs="Arial"/>
          <w:b/>
          <w:bCs/>
          <w:szCs w:val="20"/>
        </w:rPr>
        <w:t>20</w:t>
      </w:r>
      <w:r w:rsidR="004A58FC">
        <w:rPr>
          <w:rFonts w:eastAsia="Calibri" w:cs="Arial"/>
          <w:b/>
          <w:bCs/>
          <w:szCs w:val="20"/>
        </w:rPr>
        <w:t xml:space="preserve"> v 1</w:t>
      </w:r>
      <w:r w:rsidR="0005795E">
        <w:rPr>
          <w:rFonts w:eastAsia="Calibri" w:cs="Arial"/>
          <w:b/>
          <w:bCs/>
          <w:szCs w:val="20"/>
        </w:rPr>
        <w:t>1</w:t>
      </w:r>
      <w:r w:rsidR="004A58FC">
        <w:rPr>
          <w:rFonts w:eastAsia="Calibri" w:cs="Arial"/>
          <w:b/>
          <w:bCs/>
          <w:szCs w:val="20"/>
        </w:rPr>
        <w:t>:00</w:t>
      </w:r>
      <w:r>
        <w:rPr>
          <w:rFonts w:eastAsia="Calibri" w:cs="Calibri"/>
          <w:b/>
          <w:bCs/>
          <w:szCs w:val="20"/>
        </w:rPr>
        <w:t>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B660EE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p w:rsidR="001B1534" w:rsidRDefault="001B1534" w:rsidP="001B1534">
      <w:pPr>
        <w:pStyle w:val="Standard"/>
        <w:spacing w:after="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ŽÁDOSTI O DODATEČNÉ INFORMACE</w:t>
            </w:r>
          </w:p>
        </w:tc>
      </w:tr>
    </w:tbl>
    <w:p w:rsidR="002E4618" w:rsidRDefault="002E4618" w:rsidP="00CF474E">
      <w:pPr>
        <w:pStyle w:val="Standard"/>
        <w:jc w:val="both"/>
        <w:rPr>
          <w:rFonts w:eastAsia="Calibri" w:cs="Calibri"/>
          <w:szCs w:val="20"/>
        </w:rPr>
      </w:pPr>
    </w:p>
    <w:p w:rsidR="001B1534" w:rsidRDefault="001B1534" w:rsidP="00CF474E">
      <w:pPr>
        <w:pStyle w:val="Standard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CF474E" w:rsidRDefault="004C49C5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51435</wp:posOffset>
            </wp:positionV>
            <wp:extent cx="1419225" cy="1019175"/>
            <wp:effectExtent l="19050" t="0" r="9525" b="0"/>
            <wp:wrapTight wrapText="bothSides">
              <wp:wrapPolygon edited="0">
                <wp:start x="-290" y="0"/>
                <wp:lineTo x="-290" y="21398"/>
                <wp:lineTo x="21745" y="21398"/>
                <wp:lineTo x="21745" y="0"/>
                <wp:lineTo x="-29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</w:p>
    <w:p w:rsidR="00AB5C19" w:rsidRDefault="00AB5C19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szCs w:val="20"/>
        </w:rPr>
        <w:t xml:space="preserve">Vysoké nad Jizerou, </w:t>
      </w:r>
      <w:r w:rsidR="004E32B2">
        <w:rPr>
          <w:szCs w:val="20"/>
        </w:rPr>
        <w:fldChar w:fldCharType="begin"/>
      </w:r>
      <w:r>
        <w:rPr>
          <w:szCs w:val="20"/>
        </w:rPr>
        <w:instrText xml:space="preserve"> DATE \@ "d'. 'M'. 'yyyy" </w:instrText>
      </w:r>
      <w:r w:rsidR="004E32B2">
        <w:rPr>
          <w:szCs w:val="20"/>
        </w:rPr>
        <w:fldChar w:fldCharType="separate"/>
      </w:r>
      <w:r w:rsidR="00477E0C">
        <w:rPr>
          <w:noProof/>
          <w:szCs w:val="20"/>
        </w:rPr>
        <w:t>31. 3. 2020</w:t>
      </w:r>
      <w:r w:rsidR="004E32B2">
        <w:rPr>
          <w:szCs w:val="20"/>
        </w:rPr>
        <w:fldChar w:fldCharType="end"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</w:p>
    <w:p w:rsidR="00AB5C19" w:rsidRDefault="00AB5C19" w:rsidP="00AB5C19">
      <w:pPr>
        <w:pStyle w:val="TableContents"/>
        <w:jc w:val="both"/>
        <w:rPr>
          <w:rFonts w:eastAsia="Calibri" w:cs="Arial"/>
          <w:szCs w:val="20"/>
        </w:rPr>
      </w:pPr>
    </w:p>
    <w:p w:rsidR="00AB5C19" w:rsidRDefault="00AB5C19" w:rsidP="00AB5C19">
      <w:pPr>
        <w:pStyle w:val="TableContents"/>
        <w:jc w:val="both"/>
        <w:rPr>
          <w:rFonts w:eastAsia="Calibri" w:cs="Arial"/>
          <w:szCs w:val="20"/>
        </w:rPr>
      </w:pPr>
    </w:p>
    <w:p w:rsidR="00AB5C19" w:rsidRDefault="00AB5C19" w:rsidP="00AB5C19">
      <w:pPr>
        <w:pStyle w:val="TableContents"/>
        <w:jc w:val="both"/>
        <w:rPr>
          <w:szCs w:val="20"/>
        </w:rPr>
      </w:pP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4460F6" w:rsidP="00AB5C19">
            <w:pPr>
              <w:pStyle w:val="TableContents"/>
              <w:jc w:val="both"/>
              <w:rPr>
                <w:szCs w:val="20"/>
              </w:rPr>
            </w:pPr>
            <w:r>
              <w:rPr>
                <w:rFonts w:eastAsia="Calibri" w:cs="Arial"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ab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Default="008E11EB">
      <w:pPr>
        <w:pStyle w:val="Standard"/>
        <w:spacing w:after="57"/>
        <w:jc w:val="both"/>
        <w:rPr>
          <w:rFonts w:ascii="TriviaSeznam" w:hAnsi="TriviaSeznam"/>
          <w:color w:val="000000"/>
          <w:sz w:val="21"/>
          <w:szCs w:val="21"/>
        </w:rPr>
      </w:pPr>
    </w:p>
    <w:p w:rsidR="00B660EE" w:rsidRPr="008E11EB" w:rsidRDefault="00477E0C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noProof/>
          <w:szCs w:val="20"/>
          <w:lang w:eastAsia="cs-CZ" w:bidi="ar-SA"/>
        </w:rPr>
        <w:pict>
          <v:oval id="_x0000_s1031" style="position:absolute;left:0;text-align:left;margin-left:140.55pt;margin-top:133.5pt;width:176.25pt;height:79.5pt;z-index:251658240" filled="f" strokecolor="red" strokeweight="2.25pt"/>
        </w:pict>
      </w:r>
      <w:r w:rsidR="0030747A">
        <w:rPr>
          <w:rFonts w:eastAsia="Calibri" w:cs="Arial"/>
          <w:noProof/>
          <w:szCs w:val="20"/>
          <w:lang w:eastAsia="cs-CZ" w:bidi="ar-SA"/>
        </w:rPr>
        <w:drawing>
          <wp:inline distT="0" distB="0" distL="0" distR="0">
            <wp:extent cx="6120130" cy="4590415"/>
            <wp:effectExtent l="19050" t="0" r="0" b="0"/>
            <wp:docPr id="3" name="Obrázek 2" descr="Z vodárny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vodárny (5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0EE" w:rsidRPr="008E11EB" w:rsidSect="006E371D">
      <w:headerReference w:type="default" r:id="rId10"/>
      <w:footerReference w:type="default" r:id="rId11"/>
      <w:pgSz w:w="11906" w:h="16838"/>
      <w:pgMar w:top="2552" w:right="1134" w:bottom="170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7A" w:rsidRDefault="0030747A">
      <w:r>
        <w:separator/>
      </w:r>
    </w:p>
  </w:endnote>
  <w:endnote w:type="continuationSeparator" w:id="0">
    <w:p w:rsidR="0030747A" w:rsidRDefault="0030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TriviaSeznam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7A" w:rsidRDefault="00477E0C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30747A" w:rsidRDefault="0030747A">
    <w:pPr>
      <w:pStyle w:val="Standard"/>
      <w:jc w:val="center"/>
      <w:rPr>
        <w:rFonts w:cs="Arial"/>
        <w:sz w:val="12"/>
        <w:szCs w:val="12"/>
      </w:rPr>
    </w:pPr>
  </w:p>
  <w:p w:rsidR="0030747A" w:rsidRDefault="0030747A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30747A" w:rsidRDefault="0030747A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30747A" w:rsidRDefault="0030747A">
    <w:pPr>
      <w:pStyle w:val="Standard"/>
      <w:jc w:val="center"/>
    </w:pPr>
  </w:p>
  <w:p w:rsidR="0030747A" w:rsidRDefault="0030747A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477E0C">
      <w:rPr>
        <w:rStyle w:val="Internetlink"/>
        <w:rFonts w:cs="Arial"/>
        <w:noProof/>
        <w:color w:val="000000"/>
        <w:sz w:val="16"/>
        <w:szCs w:val="16"/>
        <w:u w:val="none"/>
      </w:rPr>
      <w:t>3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477E0C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7A" w:rsidRDefault="0030747A">
      <w:r>
        <w:rPr>
          <w:color w:val="000000"/>
        </w:rPr>
        <w:separator/>
      </w:r>
    </w:p>
  </w:footnote>
  <w:footnote w:type="continuationSeparator" w:id="0">
    <w:p w:rsidR="0030747A" w:rsidRDefault="0030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30747A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30747A" w:rsidRDefault="0030747A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1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30747A" w:rsidRDefault="0030747A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30747A" w:rsidRDefault="0030747A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30747A" w:rsidRDefault="0030747A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30747A" w:rsidRDefault="0030747A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30747A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30747A" w:rsidRDefault="00477E0C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30747A" w:rsidRDefault="0030747A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4284E10"/>
    <w:multiLevelType w:val="multilevel"/>
    <w:tmpl w:val="F7B4706A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9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0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1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4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11"/>
  </w:num>
  <w:num w:numId="21">
    <w:abstractNumId w:val="9"/>
  </w:num>
  <w:num w:numId="22">
    <w:abstractNumId w:val="15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>
      <o:colormenu v:ext="edit" fillcolor="none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5795E"/>
    <w:rsid w:val="000646CB"/>
    <w:rsid w:val="00064709"/>
    <w:rsid w:val="000925B2"/>
    <w:rsid w:val="001176FE"/>
    <w:rsid w:val="00184ACA"/>
    <w:rsid w:val="001B1534"/>
    <w:rsid w:val="001B1923"/>
    <w:rsid w:val="001B669C"/>
    <w:rsid w:val="001D4BD3"/>
    <w:rsid w:val="0020093B"/>
    <w:rsid w:val="002171CB"/>
    <w:rsid w:val="00242912"/>
    <w:rsid w:val="002A04E6"/>
    <w:rsid w:val="002D1228"/>
    <w:rsid w:val="002E083B"/>
    <w:rsid w:val="002E4618"/>
    <w:rsid w:val="0030747A"/>
    <w:rsid w:val="00325D65"/>
    <w:rsid w:val="0033092C"/>
    <w:rsid w:val="004460F6"/>
    <w:rsid w:val="00455685"/>
    <w:rsid w:val="0046390B"/>
    <w:rsid w:val="00477E0C"/>
    <w:rsid w:val="00492EE3"/>
    <w:rsid w:val="004A58FC"/>
    <w:rsid w:val="004A7FC8"/>
    <w:rsid w:val="004B1D26"/>
    <w:rsid w:val="004C49C5"/>
    <w:rsid w:val="004C6F86"/>
    <w:rsid w:val="004D2149"/>
    <w:rsid w:val="004E32B2"/>
    <w:rsid w:val="004E617A"/>
    <w:rsid w:val="004F3F76"/>
    <w:rsid w:val="00506C0D"/>
    <w:rsid w:val="00522FB1"/>
    <w:rsid w:val="00567C25"/>
    <w:rsid w:val="00577ED9"/>
    <w:rsid w:val="00581EC1"/>
    <w:rsid w:val="005B6E27"/>
    <w:rsid w:val="005C609F"/>
    <w:rsid w:val="005E5329"/>
    <w:rsid w:val="00655AFF"/>
    <w:rsid w:val="00680E81"/>
    <w:rsid w:val="006D0DA1"/>
    <w:rsid w:val="006E371D"/>
    <w:rsid w:val="006F18CA"/>
    <w:rsid w:val="006F7BEA"/>
    <w:rsid w:val="00786228"/>
    <w:rsid w:val="007A6261"/>
    <w:rsid w:val="007A6AAA"/>
    <w:rsid w:val="007B1C3F"/>
    <w:rsid w:val="007C5DEA"/>
    <w:rsid w:val="00807AE7"/>
    <w:rsid w:val="008C7474"/>
    <w:rsid w:val="008E11EB"/>
    <w:rsid w:val="00933895"/>
    <w:rsid w:val="00996C30"/>
    <w:rsid w:val="009D14CD"/>
    <w:rsid w:val="009D5880"/>
    <w:rsid w:val="009E4AAC"/>
    <w:rsid w:val="00A22CAD"/>
    <w:rsid w:val="00A517C3"/>
    <w:rsid w:val="00A60B6E"/>
    <w:rsid w:val="00AA2A6B"/>
    <w:rsid w:val="00AB5C19"/>
    <w:rsid w:val="00AD50A8"/>
    <w:rsid w:val="00B246E7"/>
    <w:rsid w:val="00B57DCC"/>
    <w:rsid w:val="00B660EE"/>
    <w:rsid w:val="00B81463"/>
    <w:rsid w:val="00B84BFF"/>
    <w:rsid w:val="00C07FF7"/>
    <w:rsid w:val="00C1352C"/>
    <w:rsid w:val="00C4384B"/>
    <w:rsid w:val="00C67FE4"/>
    <w:rsid w:val="00C87FE0"/>
    <w:rsid w:val="00C971CD"/>
    <w:rsid w:val="00CA548C"/>
    <w:rsid w:val="00CA5987"/>
    <w:rsid w:val="00CD5413"/>
    <w:rsid w:val="00CE28CF"/>
    <w:rsid w:val="00CF31E3"/>
    <w:rsid w:val="00CF474E"/>
    <w:rsid w:val="00D115E6"/>
    <w:rsid w:val="00D50356"/>
    <w:rsid w:val="00D56AB9"/>
    <w:rsid w:val="00D8650F"/>
    <w:rsid w:val="00DC7EEA"/>
    <w:rsid w:val="00DD1DBA"/>
    <w:rsid w:val="00DF2A9E"/>
    <w:rsid w:val="00E161AB"/>
    <w:rsid w:val="00E21999"/>
    <w:rsid w:val="00ED5FA2"/>
    <w:rsid w:val="00EF292A"/>
    <w:rsid w:val="00F20E42"/>
    <w:rsid w:val="00F411B0"/>
    <w:rsid w:val="00F47CD4"/>
    <w:rsid w:val="00F6056E"/>
    <w:rsid w:val="00F629D2"/>
    <w:rsid w:val="00F70C82"/>
    <w:rsid w:val="00FE19BF"/>
    <w:rsid w:val="00FF373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E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B6E27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B6E2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6E27"/>
    <w:pPr>
      <w:spacing w:after="120"/>
    </w:pPr>
  </w:style>
  <w:style w:type="paragraph" w:styleId="Seznam">
    <w:name w:val="List"/>
    <w:basedOn w:val="Textbody"/>
    <w:rsid w:val="005B6E27"/>
  </w:style>
  <w:style w:type="paragraph" w:styleId="Titulek">
    <w:name w:val="caption"/>
    <w:basedOn w:val="Standard"/>
    <w:rsid w:val="005B6E2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B6E27"/>
    <w:pPr>
      <w:suppressLineNumbers/>
    </w:pPr>
  </w:style>
  <w:style w:type="paragraph" w:styleId="Zhlav">
    <w:name w:val="header"/>
    <w:basedOn w:val="Standard"/>
    <w:rsid w:val="005B6E2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B6E27"/>
    <w:pPr>
      <w:suppressLineNumbers/>
    </w:pPr>
  </w:style>
  <w:style w:type="paragraph" w:styleId="Zpat">
    <w:name w:val="footer"/>
    <w:basedOn w:val="Standard"/>
    <w:rsid w:val="005B6E27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5B6E27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5B6E27"/>
    <w:pPr>
      <w:jc w:val="center"/>
    </w:pPr>
    <w:rPr>
      <w:b/>
      <w:bCs/>
    </w:rPr>
  </w:style>
  <w:style w:type="character" w:customStyle="1" w:styleId="Internetlink">
    <w:name w:val="Internet link"/>
    <w:rsid w:val="005B6E27"/>
    <w:rPr>
      <w:color w:val="000080"/>
      <w:u w:val="single"/>
    </w:rPr>
  </w:style>
  <w:style w:type="character" w:customStyle="1" w:styleId="NumberingSymbols">
    <w:name w:val="Numbering Symbols"/>
    <w:rsid w:val="005B6E27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5B6E27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5B6E27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5B6E27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5B6E27"/>
  </w:style>
  <w:style w:type="character" w:customStyle="1" w:styleId="WW8Num1z2">
    <w:name w:val="WW8Num1z2"/>
    <w:rsid w:val="005B6E27"/>
  </w:style>
  <w:style w:type="character" w:customStyle="1" w:styleId="WW8Num1z3">
    <w:name w:val="WW8Num1z3"/>
    <w:rsid w:val="005B6E27"/>
  </w:style>
  <w:style w:type="character" w:customStyle="1" w:styleId="WW8Num1z4">
    <w:name w:val="WW8Num1z4"/>
    <w:rsid w:val="005B6E27"/>
  </w:style>
  <w:style w:type="character" w:customStyle="1" w:styleId="WW8Num1z5">
    <w:name w:val="WW8Num1z5"/>
    <w:rsid w:val="005B6E27"/>
  </w:style>
  <w:style w:type="character" w:customStyle="1" w:styleId="WW8Num1z6">
    <w:name w:val="WW8Num1z6"/>
    <w:rsid w:val="005B6E27"/>
  </w:style>
  <w:style w:type="character" w:customStyle="1" w:styleId="WW8Num1z7">
    <w:name w:val="WW8Num1z7"/>
    <w:rsid w:val="005B6E27"/>
  </w:style>
  <w:style w:type="character" w:customStyle="1" w:styleId="WW8Num1z8">
    <w:name w:val="WW8Num1z8"/>
    <w:rsid w:val="005B6E27"/>
  </w:style>
  <w:style w:type="numbering" w:customStyle="1" w:styleId="WW8Num3">
    <w:name w:val="WW8Num3"/>
    <w:basedOn w:val="Bezseznamu"/>
    <w:rsid w:val="005B6E27"/>
    <w:pPr>
      <w:numPr>
        <w:numId w:val="1"/>
      </w:numPr>
    </w:pPr>
  </w:style>
  <w:style w:type="numbering" w:customStyle="1" w:styleId="WW8Num4">
    <w:name w:val="WW8Num4"/>
    <w:basedOn w:val="Bezseznamu"/>
    <w:rsid w:val="005B6E27"/>
    <w:pPr>
      <w:numPr>
        <w:numId w:val="2"/>
      </w:numPr>
    </w:pPr>
  </w:style>
  <w:style w:type="numbering" w:customStyle="1" w:styleId="WW8Num2">
    <w:name w:val="WW8Num2"/>
    <w:basedOn w:val="Bezseznamu"/>
    <w:rsid w:val="005B6E27"/>
    <w:pPr>
      <w:numPr>
        <w:numId w:val="3"/>
      </w:numPr>
    </w:pPr>
  </w:style>
  <w:style w:type="numbering" w:customStyle="1" w:styleId="WW8Num1">
    <w:name w:val="WW8Num1"/>
    <w:basedOn w:val="Bezseznamu"/>
    <w:rsid w:val="005B6E27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11</cp:revision>
  <cp:lastPrinted>2020-03-31T07:25:00Z</cp:lastPrinted>
  <dcterms:created xsi:type="dcterms:W3CDTF">2018-03-13T10:16:00Z</dcterms:created>
  <dcterms:modified xsi:type="dcterms:W3CDTF">2020-03-31T07:25:00Z</dcterms:modified>
</cp:coreProperties>
</file>