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592237" w:rsidRPr="00592237" w:rsidRDefault="00F305D1" w:rsidP="00F5358E">
      <w:pPr>
        <w:pStyle w:val="Standard"/>
        <w:spacing w:before="120" w:after="120"/>
        <w:jc w:val="center"/>
        <w:rPr>
          <w:rFonts w:cs="Arial"/>
          <w:b/>
          <w:bCs/>
          <w:sz w:val="26"/>
          <w:szCs w:val="26"/>
        </w:rPr>
      </w:pPr>
      <w:r w:rsidRPr="00F439F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Vysoké nad Jizerou – Oprava vodovodního řadu Sklenařice – Sochorovi - </w:t>
      </w:r>
      <w:proofErr w:type="spellStart"/>
      <w:r w:rsidRPr="00F439F5">
        <w:rPr>
          <w:rFonts w:asciiTheme="minorHAnsi" w:hAnsiTheme="minorHAnsi" w:cstheme="minorHAnsi"/>
          <w:b/>
          <w:color w:val="000000"/>
          <w:sz w:val="28"/>
          <w:szCs w:val="28"/>
        </w:rPr>
        <w:t>Manďovo</w:t>
      </w:r>
      <w:proofErr w:type="spellEnd"/>
      <w:r w:rsidRPr="00DC07F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p w:rsidR="001B1534" w:rsidRDefault="001B1534" w:rsidP="001B1534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</w:t>
      </w:r>
      <w:r w:rsidR="00F305D1">
        <w:rPr>
          <w:rFonts w:eastAsia="Calibri-Bold" w:cs="Calibri-Bold"/>
          <w:b/>
          <w:bCs/>
          <w:sz w:val="26"/>
          <w:szCs w:val="26"/>
        </w:rPr>
        <w:t>2</w:t>
      </w:r>
      <w:r>
        <w:rPr>
          <w:rFonts w:eastAsia="Calibri-Bold" w:cs="Calibri-Bold"/>
          <w:b/>
          <w:bCs/>
          <w:sz w:val="26"/>
          <w:szCs w:val="26"/>
        </w:rPr>
        <w:t>1</w:t>
      </w:r>
      <w:r w:rsidR="00592237">
        <w:rPr>
          <w:rFonts w:eastAsia="Calibri-Bold" w:cs="Calibri-Bold"/>
          <w:b/>
          <w:bCs/>
          <w:sz w:val="26"/>
          <w:szCs w:val="26"/>
        </w:rPr>
        <w:t>00</w:t>
      </w:r>
      <w:r w:rsidR="00F305D1">
        <w:rPr>
          <w:rFonts w:eastAsia="Calibri-Bold" w:cs="Calibri-Bold"/>
          <w:b/>
          <w:bCs/>
          <w:sz w:val="26"/>
          <w:szCs w:val="26"/>
        </w:rPr>
        <w:t>1</w:t>
      </w:r>
    </w:p>
    <w:p w:rsidR="001B1534" w:rsidRDefault="001B1534" w:rsidP="00AD59E9">
      <w:pPr>
        <w:pStyle w:val="Standard"/>
        <w:spacing w:before="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CB287A">
        <w:rPr>
          <w:rFonts w:cs="Arial"/>
          <w:iCs/>
          <w:szCs w:val="20"/>
        </w:rPr>
        <w:t>IV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592237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592237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592237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</w:t>
      </w:r>
      <w:r w:rsidR="00592237">
        <w:rPr>
          <w:rFonts w:eastAsia="Calibri" w:cs="Calibri"/>
          <w:szCs w:val="20"/>
        </w:rPr>
        <w:t xml:space="preserve"> / DIČ</w:t>
      </w:r>
      <w:r>
        <w:rPr>
          <w:rFonts w:eastAsia="Calibri" w:cs="Calibri"/>
          <w:szCs w:val="20"/>
        </w:rPr>
        <w:t>: 00276294</w:t>
      </w:r>
      <w:r w:rsidR="00592237">
        <w:rPr>
          <w:rFonts w:eastAsia="Calibri" w:cs="Calibri"/>
          <w:szCs w:val="20"/>
        </w:rPr>
        <w:t xml:space="preserve"> /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>Ing</w:t>
      </w:r>
      <w:r w:rsidRPr="00B951FA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. Jaroslav Nechanický, tel.: 481 593 </w:t>
      </w:r>
      <w:r w:rsidR="00592237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 w:rsidRPr="00B951FA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mobil.: 605 976 887</w:t>
      </w:r>
    </w:p>
    <w:p w:rsidR="001B1534" w:rsidRDefault="00996C30" w:rsidP="00996C30">
      <w:pPr>
        <w:pStyle w:val="Standard"/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hyperlink r:id="rId8" w:history="1">
        <w:r w:rsidR="00560D67" w:rsidRPr="00635FC6">
          <w:rPr>
            <w:rStyle w:val="Hypertextovodkaz"/>
            <w:rFonts w:eastAsia="Calibri" w:cs="Calibri"/>
            <w:iCs/>
            <w:szCs w:val="20"/>
          </w:rPr>
          <w:t>mistostarosta@vysokenadjizerou.cz</w:t>
        </w:r>
      </w:hyperlink>
    </w:p>
    <w:p w:rsidR="000460FA" w:rsidRPr="00BA6316" w:rsidRDefault="000460FA" w:rsidP="000460FA">
      <w:pPr>
        <w:pStyle w:val="Standard"/>
        <w:ind w:left="350" w:hanging="363"/>
        <w:jc w:val="both"/>
        <w:rPr>
          <w:rFonts w:eastAsia="Calibri" w:cs="Calibri"/>
          <w:iCs/>
          <w:szCs w:val="20"/>
        </w:rPr>
      </w:pP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szCs w:val="20"/>
        </w:rPr>
        <w:tab/>
      </w:r>
      <w:r w:rsidRPr="00BA6316">
        <w:rPr>
          <w:rFonts w:eastAsia="Calibri" w:cs="Calibri"/>
          <w:iCs/>
          <w:szCs w:val="20"/>
        </w:rPr>
        <w:t xml:space="preserve">Ing. </w:t>
      </w:r>
      <w:r w:rsidRPr="00654CC9">
        <w:rPr>
          <w:rFonts w:eastAsia="Calibri" w:cs="Calibri"/>
          <w:b/>
          <w:iCs/>
          <w:szCs w:val="20"/>
        </w:rPr>
        <w:t>Tereza Fenclová</w:t>
      </w:r>
      <w:r w:rsidRPr="00BA6316">
        <w:rPr>
          <w:rFonts w:eastAsia="Calibri" w:cs="Calibri"/>
          <w:iCs/>
          <w:szCs w:val="20"/>
        </w:rPr>
        <w:t xml:space="preserve">, tel.: </w:t>
      </w:r>
      <w:r w:rsidRPr="00654CC9">
        <w:rPr>
          <w:rFonts w:eastAsia="Calibri" w:cs="Calibri"/>
          <w:b/>
          <w:iCs/>
          <w:szCs w:val="20"/>
        </w:rPr>
        <w:t>481 </w:t>
      </w:r>
      <w:r w:rsidR="00F305D1">
        <w:rPr>
          <w:rFonts w:eastAsia="Calibri" w:cs="Calibri"/>
          <w:b/>
          <w:iCs/>
          <w:szCs w:val="20"/>
        </w:rPr>
        <w:t>593</w:t>
      </w:r>
      <w:r w:rsidRPr="00654CC9">
        <w:rPr>
          <w:rFonts w:eastAsia="Calibri" w:cs="Calibri"/>
          <w:b/>
          <w:iCs/>
          <w:szCs w:val="20"/>
        </w:rPr>
        <w:t> </w:t>
      </w:r>
      <w:r w:rsidR="00F305D1">
        <w:rPr>
          <w:rFonts w:eastAsia="Calibri" w:cs="Calibri"/>
          <w:b/>
          <w:iCs/>
          <w:szCs w:val="20"/>
        </w:rPr>
        <w:t>372</w:t>
      </w:r>
      <w:r w:rsidRPr="00BA6316">
        <w:rPr>
          <w:rFonts w:eastAsia="Calibri" w:cs="Calibri"/>
          <w:iCs/>
          <w:szCs w:val="20"/>
        </w:rPr>
        <w:t xml:space="preserve">, mobil.: </w:t>
      </w:r>
      <w:r w:rsidRPr="00654CC9">
        <w:rPr>
          <w:rFonts w:eastAsia="Calibri" w:cs="Calibri"/>
          <w:b/>
          <w:iCs/>
          <w:szCs w:val="20"/>
        </w:rPr>
        <w:t>606 821 788</w:t>
      </w:r>
    </w:p>
    <w:p w:rsidR="001B1534" w:rsidRDefault="000460FA" w:rsidP="000460FA">
      <w:pPr>
        <w:pStyle w:val="Standard"/>
        <w:ind w:left="350" w:hanging="363"/>
        <w:jc w:val="both"/>
        <w:rPr>
          <w:rFonts w:eastAsia="Calibri" w:cs="Calibri"/>
          <w:szCs w:val="20"/>
        </w:rPr>
      </w:pPr>
      <w:r w:rsidRPr="000460FA">
        <w:rPr>
          <w:rFonts w:eastAsia="Calibri" w:cs="Calibri"/>
          <w:b/>
          <w:iCs/>
          <w:szCs w:val="20"/>
        </w:rPr>
        <w:tab/>
      </w:r>
      <w:r w:rsidRPr="000460FA">
        <w:rPr>
          <w:rFonts w:eastAsia="Calibri" w:cs="Calibri"/>
          <w:b/>
          <w:iCs/>
          <w:szCs w:val="20"/>
        </w:rPr>
        <w:tab/>
      </w:r>
      <w:r>
        <w:rPr>
          <w:rFonts w:eastAsia="Calibri" w:cs="Calibri"/>
          <w:b/>
          <w:iCs/>
          <w:szCs w:val="20"/>
        </w:rPr>
        <w:tab/>
      </w:r>
      <w:r>
        <w:rPr>
          <w:rFonts w:eastAsia="Calibri" w:cs="Calibri"/>
          <w:b/>
          <w:iCs/>
          <w:szCs w:val="20"/>
        </w:rPr>
        <w:tab/>
      </w:r>
      <w:r w:rsidRPr="000460FA">
        <w:rPr>
          <w:rFonts w:eastAsia="Calibri" w:cs="Calibri"/>
          <w:iCs/>
          <w:szCs w:val="20"/>
        </w:rPr>
        <w:t xml:space="preserve">email: </w:t>
      </w:r>
      <w:hyperlink r:id="rId9" w:history="1">
        <w:r w:rsidRPr="000460FA">
          <w:rPr>
            <w:rStyle w:val="Hypertextovodkaz"/>
            <w:rFonts w:eastAsia="Calibri" w:cs="Calibri"/>
            <w:iCs/>
            <w:szCs w:val="20"/>
          </w:rPr>
          <w:t>uctarna2@vysokenadjizerou.cz</w:t>
        </w:r>
      </w:hyperlink>
    </w:p>
    <w:p w:rsidR="000460FA" w:rsidRDefault="000460FA" w:rsidP="000460FA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CB287A">
        <w:rPr>
          <w:rFonts w:eastAsia="Calibri" w:cs="Arial"/>
          <w:szCs w:val="20"/>
        </w:rPr>
        <w:t>IV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F305D1" w:rsidRDefault="00F305D1" w:rsidP="00F305D1">
      <w:pPr>
        <w:pStyle w:val="Standard"/>
        <w:spacing w:after="57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 xml:space="preserve">Název zakázky: </w:t>
      </w:r>
      <w:r w:rsidRPr="00DC07F2">
        <w:rPr>
          <w:rFonts w:asciiTheme="minorHAnsi" w:hAnsiTheme="minorHAnsi" w:cstheme="minorHAnsi"/>
          <w:b/>
          <w:color w:val="000000"/>
          <w:szCs w:val="20"/>
        </w:rPr>
        <w:t>„</w:t>
      </w:r>
      <w:r w:rsidRPr="00F439F5">
        <w:rPr>
          <w:b/>
        </w:rPr>
        <w:t xml:space="preserve">Vysoké nad Jizerou – Oprava vodovodního řadu Sklenařice – Sochorovi - </w:t>
      </w:r>
      <w:proofErr w:type="spellStart"/>
      <w:r w:rsidRPr="00F439F5">
        <w:rPr>
          <w:b/>
        </w:rPr>
        <w:t>Manďovo</w:t>
      </w:r>
      <w:proofErr w:type="spellEnd"/>
      <w:r w:rsidRPr="00DC07F2">
        <w:rPr>
          <w:rFonts w:asciiTheme="minorHAnsi" w:hAnsiTheme="minorHAnsi" w:cstheme="minorHAnsi"/>
          <w:b/>
          <w:color w:val="000000"/>
          <w:szCs w:val="20"/>
        </w:rPr>
        <w:t>“</w:t>
      </w:r>
    </w:p>
    <w:p w:rsidR="00F305D1" w:rsidRPr="00387359" w:rsidRDefault="00F305D1" w:rsidP="00F305D1">
      <w:pPr>
        <w:pStyle w:val="Standard"/>
        <w:jc w:val="both"/>
        <w:rPr>
          <w:rFonts w:asciiTheme="minorHAnsi" w:hAnsiTheme="minorHAnsi" w:cstheme="minorHAnsi"/>
        </w:rPr>
      </w:pPr>
      <w:r>
        <w:rPr>
          <w:rFonts w:eastAsia="Calibri" w:cs="Arial"/>
          <w:b/>
          <w:bCs/>
          <w:szCs w:val="20"/>
        </w:rPr>
        <w:t xml:space="preserve">Předmětem zakázky </w:t>
      </w:r>
      <w:r w:rsidRPr="008D136F">
        <w:rPr>
          <w:rFonts w:eastAsia="Calibri" w:cs="Arial"/>
          <w:bCs/>
          <w:szCs w:val="20"/>
        </w:rPr>
        <w:t>je</w:t>
      </w:r>
      <w:r>
        <w:rPr>
          <w:rFonts w:eastAsia="Calibri" w:cs="Arial"/>
          <w:b/>
          <w:bCs/>
          <w:szCs w:val="20"/>
        </w:rPr>
        <w:t xml:space="preserve"> obnova stávajícího vodovodního řadu vedoucího ve Sklenařicích mezi č. p. 42 a 107 v celkové délce 597 m.</w:t>
      </w:r>
      <w:r w:rsidRPr="00387359">
        <w:rPr>
          <w:rFonts w:asciiTheme="minorHAnsi" w:hAnsiTheme="minorHAnsi" w:cstheme="minorHAnsi"/>
        </w:rPr>
        <w:t xml:space="preserve"> Jedná se o vodovod PE 90</w:t>
      </w:r>
      <w:r>
        <w:rPr>
          <w:rFonts w:asciiTheme="minorHAnsi" w:hAnsiTheme="minorHAnsi" w:cstheme="minorHAnsi"/>
        </w:rPr>
        <w:t>,</w:t>
      </w:r>
      <w:r w:rsidRPr="00387359">
        <w:rPr>
          <w:rFonts w:asciiTheme="minorHAnsi" w:hAnsiTheme="minorHAnsi" w:cstheme="minorHAnsi"/>
        </w:rPr>
        <w:t xml:space="preserve"> který vede ve značném svahu s převýšením cca 80 m</w:t>
      </w:r>
      <w:r>
        <w:rPr>
          <w:rFonts w:asciiTheme="minorHAnsi" w:hAnsiTheme="minorHAnsi" w:cstheme="minorHAnsi"/>
        </w:rPr>
        <w:t xml:space="preserve"> převážně v louce</w:t>
      </w:r>
      <w:r w:rsidRPr="00387359">
        <w:rPr>
          <w:rFonts w:asciiTheme="minorHAnsi" w:hAnsiTheme="minorHAnsi" w:cstheme="minorHAnsi"/>
        </w:rPr>
        <w:t xml:space="preserve">. Vodojem se nachází ve výšce cca 655 m. n. m, tudíž provozní tlaky jsou v systému značné, 7 – 15 barů. Připojené nemovitosti mají na svých přípojkách redukční ventily. Tento stav zůstane zachován. Na trase je připojeno 8 objektů, centrální snížení tlaku na veřejné části není ekonomicky vhodné. Na začátku trasy je vodovod napojen na původní PE potrubí a na konci své trasy je ukončen ve stávající šachtě s redukcí tlaku – vodovod pokračuje dále do níže položené lokality. Původní vodovod bude při realizaci vyjmut ze země a opravený vodovod bude vsazen </w:t>
      </w:r>
      <w:r>
        <w:rPr>
          <w:rFonts w:asciiTheme="minorHAnsi" w:hAnsiTheme="minorHAnsi" w:cstheme="minorHAnsi"/>
        </w:rPr>
        <w:t xml:space="preserve">přibližně </w:t>
      </w:r>
      <w:r w:rsidRPr="00387359">
        <w:rPr>
          <w:rFonts w:asciiTheme="minorHAnsi" w:hAnsiTheme="minorHAnsi" w:cstheme="minorHAnsi"/>
        </w:rPr>
        <w:t xml:space="preserve">v jeho místě. Přípojky na trase budou na opravovaný vodovod přepojeny. </w:t>
      </w:r>
    </w:p>
    <w:p w:rsidR="00F305D1" w:rsidRPr="00387359" w:rsidRDefault="00F305D1" w:rsidP="00F305D1">
      <w:pPr>
        <w:jc w:val="both"/>
        <w:rPr>
          <w:rFonts w:asciiTheme="minorHAnsi" w:hAnsiTheme="minorHAnsi" w:cstheme="minorHAnsi"/>
          <w:sz w:val="20"/>
        </w:rPr>
      </w:pPr>
      <w:r w:rsidRPr="00387359">
        <w:rPr>
          <w:rFonts w:asciiTheme="minorHAnsi" w:hAnsiTheme="minorHAnsi" w:cstheme="minorHAnsi"/>
          <w:sz w:val="20"/>
        </w:rPr>
        <w:t xml:space="preserve">Oprava na začátku trasy vodovodu u č. p. 58 bude zahájena napojením na stávající PE potrubí DN 80 pod komunikací, jehož stáří je cca 50 let. Předpokládá se napojení pomocí mechanické spojky např. </w:t>
      </w:r>
      <w:proofErr w:type="spellStart"/>
      <w:r w:rsidRPr="00387359">
        <w:rPr>
          <w:rFonts w:asciiTheme="minorHAnsi" w:hAnsiTheme="minorHAnsi" w:cstheme="minorHAnsi"/>
          <w:sz w:val="20"/>
        </w:rPr>
        <w:t>Synoflex</w:t>
      </w:r>
      <w:proofErr w:type="spellEnd"/>
      <w:r w:rsidRPr="00387359">
        <w:rPr>
          <w:rFonts w:asciiTheme="minorHAnsi" w:hAnsiTheme="minorHAnsi" w:cstheme="minorHAnsi"/>
          <w:sz w:val="20"/>
        </w:rPr>
        <w:t xml:space="preserve">. Vodovod je dále veden podél č. p. 58, kde po přibližně 7 m od místa napojení se nachází stávající šachta ze studničních skruží o průměru 1 m. Zde v šachtě jsou provedena napojení přípojek pro č. p. </w:t>
      </w:r>
      <w:r w:rsidRPr="00387359">
        <w:rPr>
          <w:rFonts w:asciiTheme="minorHAnsi" w:hAnsiTheme="minorHAnsi" w:cstheme="minorHAnsi"/>
          <w:b/>
          <w:sz w:val="20"/>
        </w:rPr>
        <w:t>58</w:t>
      </w:r>
      <w:r w:rsidRPr="00387359">
        <w:rPr>
          <w:rFonts w:asciiTheme="minorHAnsi" w:hAnsiTheme="minorHAnsi" w:cstheme="minorHAnsi"/>
          <w:sz w:val="20"/>
        </w:rPr>
        <w:t xml:space="preserve"> a </w:t>
      </w:r>
      <w:r w:rsidRPr="00387359">
        <w:rPr>
          <w:rFonts w:asciiTheme="minorHAnsi" w:hAnsiTheme="minorHAnsi" w:cstheme="minorHAnsi"/>
          <w:b/>
          <w:sz w:val="20"/>
        </w:rPr>
        <w:t>138</w:t>
      </w:r>
      <w:r w:rsidRPr="00387359">
        <w:rPr>
          <w:rFonts w:asciiTheme="minorHAnsi" w:hAnsiTheme="minorHAnsi" w:cstheme="minorHAnsi"/>
          <w:sz w:val="20"/>
        </w:rPr>
        <w:t>. V šachtě jsou také osazeny jejich redukční ventily. Stávající šachta bude zrekonstruována – očekává se dotěsnění spár mezi skružemi, lokální obnova betonovou s</w:t>
      </w:r>
      <w:r>
        <w:rPr>
          <w:rFonts w:asciiTheme="minorHAnsi" w:hAnsiTheme="minorHAnsi" w:cstheme="minorHAnsi"/>
          <w:sz w:val="20"/>
        </w:rPr>
        <w:t>měsí a výměna poklopu 600 x 600 </w:t>
      </w:r>
      <w:r w:rsidRPr="00387359">
        <w:rPr>
          <w:rFonts w:asciiTheme="minorHAnsi" w:hAnsiTheme="minorHAnsi" w:cstheme="minorHAnsi"/>
          <w:sz w:val="20"/>
        </w:rPr>
        <w:t xml:space="preserve">mm. V šachtě bude nově osazeno šoupě DN 80 a bude vynechán prostor pro možnost budoucího osazení redukčního ventilu. Přípojky budou nově napojeny pomocí </w:t>
      </w:r>
      <w:proofErr w:type="spellStart"/>
      <w:r w:rsidRPr="00387359">
        <w:rPr>
          <w:rFonts w:asciiTheme="minorHAnsi" w:hAnsiTheme="minorHAnsi" w:cstheme="minorHAnsi"/>
          <w:sz w:val="20"/>
        </w:rPr>
        <w:t>navrtávky</w:t>
      </w:r>
      <w:proofErr w:type="spellEnd"/>
      <w:r w:rsidRPr="00387359">
        <w:rPr>
          <w:rFonts w:asciiTheme="minorHAnsi" w:hAnsiTheme="minorHAnsi" w:cstheme="minorHAnsi"/>
          <w:sz w:val="20"/>
        </w:rPr>
        <w:t xml:space="preserve"> za šachtou. V obou objektech musí být dodatečně osazen redukční ventil.</w:t>
      </w:r>
    </w:p>
    <w:p w:rsidR="00F305D1" w:rsidRPr="00387359" w:rsidRDefault="00F305D1" w:rsidP="00F305D1">
      <w:pPr>
        <w:jc w:val="both"/>
        <w:rPr>
          <w:rFonts w:asciiTheme="minorHAnsi" w:hAnsiTheme="minorHAnsi" w:cstheme="minorHAnsi"/>
          <w:sz w:val="20"/>
        </w:rPr>
      </w:pPr>
      <w:r w:rsidRPr="00387359">
        <w:rPr>
          <w:rFonts w:asciiTheme="minorHAnsi" w:hAnsiTheme="minorHAnsi" w:cstheme="minorHAnsi"/>
          <w:sz w:val="20"/>
        </w:rPr>
        <w:t xml:space="preserve">Vodovod bude veden dále směrem z kopce přibližně v souběhu s nadzemním vedením VN. Pod č. p. </w:t>
      </w:r>
      <w:r w:rsidRPr="00387359">
        <w:rPr>
          <w:rFonts w:asciiTheme="minorHAnsi" w:hAnsiTheme="minorHAnsi" w:cstheme="minorHAnsi"/>
          <w:b/>
          <w:sz w:val="20"/>
        </w:rPr>
        <w:t>43</w:t>
      </w:r>
      <w:r w:rsidRPr="00387359">
        <w:rPr>
          <w:rFonts w:asciiTheme="minorHAnsi" w:hAnsiTheme="minorHAnsi" w:cstheme="minorHAnsi"/>
          <w:sz w:val="20"/>
        </w:rPr>
        <w:t xml:space="preserve"> bude provedena změna směru a vodovod bude veden do místní štěrkové komunikace nad „osadou“ několika objektů. V místní křižovatce bude osazen podzemní hydrant a za ním bude osazeno trasové šoupě. Žádný z objektů v této lokalitě (č. p. 85, 44, 14, 45 a 142) není připojen. Vodovod je dále veden po okraji místní štěrkové komunikace a dále pak napříč loukou ze svahu až k č. p. </w:t>
      </w:r>
      <w:r w:rsidRPr="00387359">
        <w:rPr>
          <w:rFonts w:asciiTheme="minorHAnsi" w:hAnsiTheme="minorHAnsi" w:cstheme="minorHAnsi"/>
          <w:b/>
          <w:sz w:val="20"/>
        </w:rPr>
        <w:t>79</w:t>
      </w:r>
      <w:r w:rsidRPr="00387359">
        <w:rPr>
          <w:rFonts w:asciiTheme="minorHAnsi" w:hAnsiTheme="minorHAnsi" w:cstheme="minorHAnsi"/>
          <w:sz w:val="20"/>
        </w:rPr>
        <w:t xml:space="preserve"> a </w:t>
      </w:r>
      <w:r w:rsidRPr="00387359">
        <w:rPr>
          <w:rFonts w:asciiTheme="minorHAnsi" w:hAnsiTheme="minorHAnsi" w:cstheme="minorHAnsi"/>
          <w:b/>
          <w:sz w:val="20"/>
        </w:rPr>
        <w:t>107</w:t>
      </w:r>
      <w:r w:rsidRPr="00387359">
        <w:rPr>
          <w:rFonts w:asciiTheme="minorHAnsi" w:hAnsiTheme="minorHAnsi" w:cstheme="minorHAnsi"/>
          <w:sz w:val="20"/>
        </w:rPr>
        <w:t xml:space="preserve">. Na trase budou přepojeny celkem 3 přípojky (č. p. </w:t>
      </w:r>
      <w:r w:rsidRPr="00387359">
        <w:rPr>
          <w:rFonts w:asciiTheme="minorHAnsi" w:hAnsiTheme="minorHAnsi" w:cstheme="minorHAnsi"/>
          <w:b/>
          <w:sz w:val="20"/>
        </w:rPr>
        <w:t>46</w:t>
      </w:r>
      <w:r w:rsidRPr="00387359">
        <w:rPr>
          <w:rFonts w:asciiTheme="minorHAnsi" w:hAnsiTheme="minorHAnsi" w:cstheme="minorHAnsi"/>
          <w:sz w:val="20"/>
        </w:rPr>
        <w:t xml:space="preserve">, </w:t>
      </w:r>
      <w:r w:rsidRPr="00387359">
        <w:rPr>
          <w:rFonts w:asciiTheme="minorHAnsi" w:hAnsiTheme="minorHAnsi" w:cstheme="minorHAnsi"/>
          <w:b/>
          <w:sz w:val="20"/>
        </w:rPr>
        <w:t>48</w:t>
      </w:r>
      <w:r w:rsidRPr="00387359">
        <w:rPr>
          <w:rFonts w:asciiTheme="minorHAnsi" w:hAnsiTheme="minorHAnsi" w:cstheme="minorHAnsi"/>
          <w:sz w:val="20"/>
        </w:rPr>
        <w:t xml:space="preserve"> a </w:t>
      </w:r>
      <w:r w:rsidRPr="00387359">
        <w:rPr>
          <w:rFonts w:asciiTheme="minorHAnsi" w:hAnsiTheme="minorHAnsi" w:cstheme="minorHAnsi"/>
          <w:b/>
          <w:sz w:val="20"/>
        </w:rPr>
        <w:t>201</w:t>
      </w:r>
      <w:r w:rsidRPr="00387359">
        <w:rPr>
          <w:rFonts w:asciiTheme="minorHAnsi" w:hAnsiTheme="minorHAnsi" w:cstheme="minorHAnsi"/>
          <w:sz w:val="20"/>
        </w:rPr>
        <w:t xml:space="preserve">). U místní komunikace budou přepojeny poslední dvě přípojky a oprava vodovodu bude ukončena „zatažením“ vodovodu do </w:t>
      </w:r>
      <w:r w:rsidRPr="00387359">
        <w:rPr>
          <w:rFonts w:asciiTheme="minorHAnsi" w:hAnsiTheme="minorHAnsi" w:cstheme="minorHAnsi"/>
          <w:sz w:val="20"/>
        </w:rPr>
        <w:lastRenderedPageBreak/>
        <w:t xml:space="preserve">stávající šachty, kde bude vodovod napojen na stávající přírubu šoupěte DN 80. Prostup do šachty bude nově utěsněn. Přípojky budou přepojeny pomocí navrtávací </w:t>
      </w:r>
      <w:proofErr w:type="spellStart"/>
      <w:r w:rsidRPr="00387359">
        <w:rPr>
          <w:rFonts w:asciiTheme="minorHAnsi" w:hAnsiTheme="minorHAnsi" w:cstheme="minorHAnsi"/>
          <w:sz w:val="20"/>
        </w:rPr>
        <w:t>elektrotvarovky</w:t>
      </w:r>
      <w:proofErr w:type="spellEnd"/>
      <w:r w:rsidRPr="00387359">
        <w:rPr>
          <w:rFonts w:asciiTheme="minorHAnsi" w:hAnsiTheme="minorHAnsi" w:cstheme="minorHAnsi"/>
          <w:sz w:val="20"/>
        </w:rPr>
        <w:t xml:space="preserve"> – DAV-KIT, součástí je šoupě DN 25 se zemní teleskopickou soupravou. </w:t>
      </w:r>
    </w:p>
    <w:p w:rsidR="00F305D1" w:rsidRPr="00387359" w:rsidRDefault="00F305D1" w:rsidP="00F305D1">
      <w:pPr>
        <w:jc w:val="both"/>
        <w:rPr>
          <w:rFonts w:asciiTheme="minorHAnsi" w:hAnsiTheme="minorHAnsi" w:cstheme="minorHAnsi"/>
          <w:sz w:val="20"/>
        </w:rPr>
      </w:pPr>
      <w:r w:rsidRPr="00387359">
        <w:rPr>
          <w:rFonts w:asciiTheme="minorHAnsi" w:hAnsiTheme="minorHAnsi" w:cstheme="minorHAnsi"/>
          <w:sz w:val="20"/>
        </w:rPr>
        <w:t>Nový vodovod bude proveden z polyethylenového potrubí PE 100 RC, SDR 7,4, 90 x 12,3 mm, bude použito potrubí v návinu. Šoupata a ostatní armatury jsou navrženy s ochranou fosfatizace zinkem s krycím modrým epoxidem nanášeným kataforézou, v tlakové třídě PN 25. Vodovod bude veden s krytím minimálně 1,2 m. Vodovod bude uložen do nového výkopu na pískový podsyp o tloušťce 150 mm, obsypán štěrkopískovým obsypem 300 mm nad temeno potrubí. Na obsyp potrubí bude uložena výstražná fólie s potiskem. K potrubí bude připevněn signalizační vodič CYKY 2,5 mm</w:t>
      </w:r>
      <w:r w:rsidRPr="00387359">
        <w:rPr>
          <w:rFonts w:asciiTheme="minorHAnsi" w:hAnsiTheme="minorHAnsi" w:cstheme="minorHAnsi"/>
          <w:sz w:val="20"/>
          <w:vertAlign w:val="superscript"/>
        </w:rPr>
        <w:t xml:space="preserve">2 </w:t>
      </w:r>
      <w:r w:rsidRPr="00387359">
        <w:rPr>
          <w:rFonts w:asciiTheme="minorHAnsi" w:hAnsiTheme="minorHAnsi" w:cstheme="minorHAnsi"/>
          <w:sz w:val="20"/>
        </w:rPr>
        <w:t xml:space="preserve">s vývody do poklopu šoupat. Před zásypem potrubí bude provedena tlaková zkouška, desinfekce a kontrola ze strany provozovatele. Dále bude provedena zkouška funkčnosti signalizačního vodiče. O výsledku zkoušek bude proveden zápis. Po provedení zásypu budou veškeré plochy uvedeny do původního stavu. Zásyp bude hutněn na 95 % </w:t>
      </w:r>
      <w:proofErr w:type="spellStart"/>
      <w:r w:rsidRPr="00387359">
        <w:rPr>
          <w:rFonts w:asciiTheme="minorHAnsi" w:hAnsiTheme="minorHAnsi" w:cstheme="minorHAnsi"/>
          <w:sz w:val="20"/>
        </w:rPr>
        <w:t>PCs</w:t>
      </w:r>
      <w:proofErr w:type="spellEnd"/>
      <w:r w:rsidRPr="00387359">
        <w:rPr>
          <w:rFonts w:asciiTheme="minorHAnsi" w:hAnsiTheme="minorHAnsi" w:cstheme="minorHAnsi"/>
          <w:sz w:val="20"/>
        </w:rPr>
        <w:t xml:space="preserve">. Před provedením zásypu bude zaměřena skutečná poloha vodovodu. </w:t>
      </w:r>
    </w:p>
    <w:p w:rsidR="00F305D1" w:rsidRPr="00387359" w:rsidRDefault="00F305D1" w:rsidP="00F305D1">
      <w:pPr>
        <w:jc w:val="both"/>
        <w:rPr>
          <w:rFonts w:asciiTheme="minorHAnsi" w:hAnsiTheme="minorHAnsi" w:cstheme="minorHAnsi"/>
          <w:sz w:val="20"/>
        </w:rPr>
      </w:pPr>
      <w:r w:rsidRPr="00387359">
        <w:rPr>
          <w:rFonts w:asciiTheme="minorHAnsi" w:hAnsiTheme="minorHAnsi" w:cstheme="minorHAnsi"/>
          <w:sz w:val="20"/>
        </w:rPr>
        <w:t>Oprava vodovodu bude prováděna v době, kdy většina objektů nebude obsazena – jedná se o rekreační objekty. Není uvažováno s provizorním zásobením. Připojené nemovitosti budou s předstihem informováni.</w:t>
      </w:r>
    </w:p>
    <w:p w:rsidR="00F305D1" w:rsidRDefault="00F305D1" w:rsidP="00F305D1">
      <w:pPr>
        <w:pStyle w:val="Standard"/>
        <w:ind w:firstLine="56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Přesná trasa vodovodního řadu včetně dotčených pozemků je uvedena v projektové dokumentaci, která je nedílnou součástí zadávací dokumentace.</w:t>
      </w:r>
    </w:p>
    <w:p w:rsidR="00EA5A97" w:rsidRDefault="00F305D1" w:rsidP="00F305D1">
      <w:pPr>
        <w:pStyle w:val="Standard"/>
        <w:ind w:firstLine="567"/>
        <w:jc w:val="both"/>
        <w:rPr>
          <w:rFonts w:eastAsia="Calibri" w:cs="Arial"/>
          <w:bCs/>
          <w:szCs w:val="20"/>
        </w:rPr>
      </w:pPr>
      <w:r w:rsidRPr="0014233E">
        <w:rPr>
          <w:rFonts w:eastAsia="Calibri" w:cs="Arial"/>
          <w:b/>
          <w:bCs/>
          <w:szCs w:val="20"/>
        </w:rPr>
        <w:t>Při předání staveniště</w:t>
      </w:r>
      <w:r>
        <w:rPr>
          <w:rFonts w:eastAsia="Calibri" w:cs="Arial"/>
          <w:bCs/>
          <w:szCs w:val="20"/>
        </w:rPr>
        <w:t xml:space="preserve"> </w:t>
      </w:r>
      <w:r w:rsidRPr="00094199">
        <w:rPr>
          <w:rFonts w:eastAsia="Calibri" w:cs="Arial"/>
          <w:b/>
          <w:bCs/>
          <w:szCs w:val="20"/>
        </w:rPr>
        <w:t>je zhotovitel povinen</w:t>
      </w:r>
      <w:r>
        <w:rPr>
          <w:rFonts w:eastAsia="Calibri" w:cs="Arial"/>
          <w:bCs/>
          <w:szCs w:val="20"/>
        </w:rPr>
        <w:t xml:space="preserve"> zajistit vytyčení, případně ověření všech stávajících podzemních sítí a zařízení příslušnými správci, a zaznamenat tyto sítě i zařízení do stavebního deníku. Dodavatel nesmí zahájit výkopové práce před vytyčením a ověřením stavu všech podzemních sítí a zařízení zástupci správců. Při odhalení neznámé sítě či zařízení nesmí dodavatel pokračovat ve výkopových pracích, je povinen zjistit majitele takové sítě či zařízení a informovat investora, projektanta a autorský dozor. Pokračování prací je možné až po ověření neznámé sítě. Veškeré dotčené povrchy budou navráceny minimálně do původního stavu. </w:t>
      </w:r>
      <w:r w:rsidRPr="000D64B5">
        <w:rPr>
          <w:rFonts w:eastAsia="Calibri" w:cs="Arial"/>
          <w:b/>
          <w:bCs/>
          <w:szCs w:val="20"/>
        </w:rPr>
        <w:t>Při stavbě je nutné omezit</w:t>
      </w:r>
      <w:r>
        <w:rPr>
          <w:rFonts w:eastAsia="Calibri" w:cs="Arial"/>
          <w:bCs/>
          <w:szCs w:val="20"/>
        </w:rPr>
        <w:t xml:space="preserve"> v co největší míře případnou prašnost, dbát maximální ohleduplnosti a omezení hlučnosti. </w:t>
      </w:r>
      <w:r w:rsidRPr="00B01C11">
        <w:rPr>
          <w:rFonts w:eastAsia="Calibri" w:cs="Arial"/>
          <w:bCs/>
          <w:szCs w:val="20"/>
        </w:rPr>
        <w:t>V rámci výstavby dojde k omezení provozu v prostoru místních komunikací, v kterých budou vedeny nové sítě. Staveniště bude řádně zabezpečeno</w:t>
      </w:r>
      <w:r>
        <w:rPr>
          <w:rFonts w:eastAsia="Calibri" w:cs="Arial"/>
          <w:bCs/>
          <w:szCs w:val="20"/>
        </w:rPr>
        <w:t xml:space="preserve"> proti vstupu nepovolaným osobám</w:t>
      </w:r>
      <w:r w:rsidRPr="00B01C11">
        <w:rPr>
          <w:rFonts w:eastAsia="Calibri" w:cs="Arial"/>
          <w:bCs/>
          <w:szCs w:val="20"/>
        </w:rPr>
        <w:t xml:space="preserve">, všechny překážky budou označeny, v průběhu stavebních prací bude na komunikaci osazeno dočasné dopravní značení. Před započetím těchto prací bude tento </w:t>
      </w:r>
      <w:r>
        <w:rPr>
          <w:rFonts w:eastAsia="Calibri" w:cs="Arial"/>
          <w:bCs/>
          <w:szCs w:val="20"/>
        </w:rPr>
        <w:t xml:space="preserve">záměr ohlášen všem složkám IZS. </w:t>
      </w:r>
      <w:r w:rsidRPr="00094199">
        <w:rPr>
          <w:rFonts w:eastAsia="Calibri" w:cs="Arial"/>
          <w:b/>
          <w:bCs/>
          <w:szCs w:val="20"/>
        </w:rPr>
        <w:t>Celý průběh bude dokumentován</w:t>
      </w:r>
      <w:r w:rsidRPr="006C6042">
        <w:rPr>
          <w:rFonts w:eastAsia="Calibri" w:cs="Arial"/>
          <w:bCs/>
          <w:szCs w:val="20"/>
        </w:rPr>
        <w:t xml:space="preserve"> a následně z něj bude pořízena závěrečná zpráva. Veškeré stavební práce budou provedeny dle „Všeobecných standardů staveb“.</w:t>
      </w:r>
    </w:p>
    <w:p w:rsidR="00EA5A97" w:rsidRDefault="00F305D1" w:rsidP="00EA5A97">
      <w:pPr>
        <w:pStyle w:val="Standard"/>
        <w:spacing w:before="120"/>
        <w:jc w:val="both"/>
        <w:rPr>
          <w:rFonts w:eastAsia="Calibri" w:cs="Arial"/>
          <w:bCs/>
          <w:szCs w:val="20"/>
        </w:rPr>
      </w:pPr>
      <w:r w:rsidRPr="007E6B78">
        <w:rPr>
          <w:rFonts w:eastAsia="Calibri" w:cs="Arial"/>
          <w:b/>
          <w:szCs w:val="20"/>
        </w:rPr>
        <w:t>(</w:t>
      </w:r>
      <w:r>
        <w:rPr>
          <w:rFonts w:eastAsia="Calibri" w:cs="Arial"/>
          <w:b/>
          <w:szCs w:val="20"/>
        </w:rPr>
        <w:t>P</w:t>
      </w:r>
      <w:r w:rsidRPr="007E6B78">
        <w:rPr>
          <w:rFonts w:eastAsia="Calibri" w:cs="Arial"/>
          <w:b/>
          <w:szCs w:val="20"/>
        </w:rPr>
        <w:t>rovizorní řešení zásobování vodou bude řešeno až po dohodě s vítěznou firmou za předpokladu součinnosti zaměstnanců města)</w:t>
      </w:r>
      <w:r w:rsidRPr="00F305D1">
        <w:rPr>
          <w:rFonts w:eastAsia="Calibri" w:cs="Arial"/>
          <w:b/>
          <w:szCs w:val="20"/>
        </w:rPr>
        <w:t>.</w:t>
      </w:r>
      <w:r w:rsidR="0059345A">
        <w:rPr>
          <w:rFonts w:eastAsia="Calibri" w:cs="Arial"/>
          <w:b/>
          <w:bCs/>
          <w:szCs w:val="20"/>
        </w:rPr>
        <w:t xml:space="preserve"> </w:t>
      </w:r>
    </w:p>
    <w:p w:rsidR="001B1534" w:rsidRPr="00EA5A97" w:rsidRDefault="001B1534" w:rsidP="00EA5A97">
      <w:pPr>
        <w:pStyle w:val="Standard"/>
        <w:spacing w:before="120" w:after="200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color w:val="000000"/>
          <w:sz w:val="21"/>
          <w:szCs w:val="21"/>
        </w:rPr>
        <w:t xml:space="preserve">Zadavatel si vyhrazuje právo na upřesnění rozsahu předmětu díla po ukončení výběrového řízení. 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965A22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680E81">
        <w:rPr>
          <w:rFonts w:eastAsia="Calibri" w:cs="Arial"/>
          <w:szCs w:val="20"/>
        </w:rPr>
        <w:t>Vysoké nad Jizerou</w:t>
      </w:r>
      <w:r w:rsidR="00E10F4B">
        <w:rPr>
          <w:rFonts w:eastAsia="Calibri" w:cs="Arial"/>
          <w:szCs w:val="20"/>
        </w:rPr>
        <w:t xml:space="preserve"> – </w:t>
      </w:r>
      <w:r w:rsidR="00F305D1">
        <w:rPr>
          <w:rFonts w:eastAsia="Calibri" w:cs="Arial"/>
          <w:szCs w:val="20"/>
        </w:rPr>
        <w:t xml:space="preserve">Sklenařice, </w:t>
      </w:r>
      <w:r w:rsidR="00E10F4B">
        <w:rPr>
          <w:rFonts w:eastAsia="Calibri" w:cs="Arial"/>
          <w:szCs w:val="20"/>
        </w:rPr>
        <w:t>k. ú</w:t>
      </w:r>
      <w:r w:rsidR="00965A22">
        <w:rPr>
          <w:rFonts w:eastAsia="Calibri" w:cs="Arial"/>
          <w:szCs w:val="20"/>
        </w:rPr>
        <w:t xml:space="preserve">. </w:t>
      </w:r>
      <w:r w:rsidR="00F305D1">
        <w:rPr>
          <w:rFonts w:eastAsia="Calibri" w:cs="Arial"/>
          <w:szCs w:val="20"/>
        </w:rPr>
        <w:t>Sklenařice</w:t>
      </w:r>
      <w:r w:rsidR="00E10F4B">
        <w:rPr>
          <w:rFonts w:eastAsia="Calibri" w:cs="Arial"/>
          <w:szCs w:val="20"/>
        </w:rPr>
        <w:t>.</w:t>
      </w:r>
      <w:r w:rsidR="00965A22">
        <w:rPr>
          <w:rFonts w:eastAsia="Calibri" w:cs="Arial"/>
          <w:szCs w:val="20"/>
        </w:rPr>
        <w:t xml:space="preserve"> </w:t>
      </w:r>
      <w:r w:rsidR="00965A22">
        <w:rPr>
          <w:rFonts w:eastAsia="Calibri" w:cs="Arial"/>
          <w:bCs/>
          <w:szCs w:val="20"/>
        </w:rPr>
        <w:t>Přesná trasa vodovodního řadu včetně dotčených pozemků je uvedena v projektové dokumentaci, která je nedílnou součástí zadávací dokumentace.</w:t>
      </w:r>
      <w:r w:rsidR="00E10F4B">
        <w:rPr>
          <w:rFonts w:eastAsia="Calibri" w:cs="Arial"/>
          <w:szCs w:val="20"/>
        </w:rPr>
        <w:t xml:space="preserve"> 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D8334C" w:rsidRPr="00762CB7" w:rsidRDefault="001B1534" w:rsidP="00F5358E">
      <w:pPr>
        <w:pStyle w:val="Standard"/>
        <w:jc w:val="both"/>
        <w:rPr>
          <w:rFonts w:eastAsia="Calibri" w:cs="Arial"/>
          <w:b/>
          <w:szCs w:val="20"/>
        </w:rPr>
      </w:pPr>
      <w:r>
        <w:t>Rozsah prací je uveden v</w:t>
      </w:r>
      <w:r w:rsidR="004C6F86">
        <w:t xml:space="preserve">e </w:t>
      </w:r>
      <w:r>
        <w:t>výkazu</w:t>
      </w:r>
      <w:r>
        <w:rPr>
          <w:rFonts w:eastAsia="Calibri" w:cs="Calibri"/>
          <w:color w:val="000000"/>
          <w:szCs w:val="20"/>
        </w:rPr>
        <w:t xml:space="preserve"> výměr.</w:t>
      </w:r>
      <w:r w:rsidR="00D8334C">
        <w:rPr>
          <w:rFonts w:eastAsia="Calibri" w:cs="Calibri"/>
          <w:color w:val="000000"/>
          <w:szCs w:val="20"/>
        </w:rPr>
        <w:t xml:space="preserve"> </w:t>
      </w:r>
      <w:r w:rsidR="00D8334C" w:rsidRPr="00762CB7">
        <w:rPr>
          <w:rFonts w:eastAsia="Calibri" w:cs="Arial"/>
          <w:b/>
          <w:szCs w:val="20"/>
        </w:rPr>
        <w:t xml:space="preserve">Předpokládaná cena stavby je </w:t>
      </w:r>
      <w:r w:rsidR="00F305D1">
        <w:rPr>
          <w:rFonts w:eastAsia="Calibri" w:cs="Arial"/>
          <w:b/>
          <w:szCs w:val="20"/>
        </w:rPr>
        <w:t>1</w:t>
      </w:r>
      <w:r w:rsidR="00654CC9">
        <w:rPr>
          <w:rFonts w:eastAsia="Calibri" w:cs="Arial"/>
          <w:b/>
          <w:szCs w:val="20"/>
        </w:rPr>
        <w:t>.</w:t>
      </w:r>
      <w:r w:rsidR="00F305D1">
        <w:rPr>
          <w:rFonts w:eastAsia="Calibri" w:cs="Arial"/>
          <w:b/>
          <w:szCs w:val="20"/>
        </w:rPr>
        <w:t>6</w:t>
      </w:r>
      <w:r w:rsidR="0014436B">
        <w:rPr>
          <w:rFonts w:eastAsia="Calibri" w:cs="Arial"/>
          <w:b/>
          <w:szCs w:val="20"/>
        </w:rPr>
        <w:t>00</w:t>
      </w:r>
      <w:r w:rsidR="00D8334C" w:rsidRPr="00762CB7">
        <w:rPr>
          <w:rFonts w:eastAsia="Calibri" w:cs="Arial"/>
          <w:b/>
          <w:szCs w:val="20"/>
        </w:rPr>
        <w:t>.000,- Kč</w:t>
      </w:r>
      <w:r w:rsidR="00D8334C">
        <w:rPr>
          <w:rFonts w:eastAsia="Calibri" w:cs="Arial"/>
          <w:b/>
          <w:szCs w:val="20"/>
        </w:rPr>
        <w:t xml:space="preserve"> bez DPH.</w:t>
      </w:r>
    </w:p>
    <w:p w:rsidR="001B1534" w:rsidRDefault="001B1534" w:rsidP="00F5358E">
      <w:pPr>
        <w:pStyle w:val="Standard"/>
        <w:jc w:val="both"/>
        <w:rPr>
          <w:rFonts w:eastAsia="Calibri" w:cs="Calibri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C7474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</w:p>
        </w:tc>
      </w:tr>
    </w:tbl>
    <w:p w:rsidR="001B1534" w:rsidRPr="00FE19BF" w:rsidRDefault="00CA548C" w:rsidP="004243BE">
      <w:pPr>
        <w:pStyle w:val="Standard"/>
        <w:numPr>
          <w:ilvl w:val="0"/>
          <w:numId w:val="19"/>
        </w:numPr>
        <w:autoSpaceDE w:val="0"/>
        <w:spacing w:before="57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 xml:space="preserve">práce mohou začít </w:t>
      </w:r>
      <w:r w:rsidR="00654CC9" w:rsidRPr="00654CC9">
        <w:rPr>
          <w:rFonts w:eastAsia="Calibri" w:cs="Arial"/>
          <w:b/>
          <w:szCs w:val="20"/>
        </w:rPr>
        <w:t xml:space="preserve">1. </w:t>
      </w:r>
      <w:r w:rsidR="00F305D1">
        <w:rPr>
          <w:rFonts w:eastAsia="Calibri" w:cs="Arial"/>
          <w:b/>
          <w:szCs w:val="20"/>
        </w:rPr>
        <w:t>srpna</w:t>
      </w:r>
      <w:r w:rsidR="00654CC9" w:rsidRPr="00654CC9">
        <w:rPr>
          <w:rFonts w:eastAsia="Calibri" w:cs="Arial"/>
          <w:b/>
          <w:szCs w:val="20"/>
        </w:rPr>
        <w:t xml:space="preserve"> 20</w:t>
      </w:r>
      <w:r w:rsidR="00F305D1">
        <w:rPr>
          <w:rFonts w:eastAsia="Calibri" w:cs="Arial"/>
          <w:b/>
          <w:szCs w:val="20"/>
        </w:rPr>
        <w:t>21</w:t>
      </w:r>
      <w:r w:rsidR="00E10F4B">
        <w:rPr>
          <w:rFonts w:eastAsia="Calibri" w:cs="Arial"/>
          <w:szCs w:val="20"/>
        </w:rPr>
        <w:t>,</w:t>
      </w:r>
    </w:p>
    <w:p w:rsidR="001B1534" w:rsidRDefault="004C6F86" w:rsidP="004243BE">
      <w:pPr>
        <w:pStyle w:val="Standard"/>
        <w:numPr>
          <w:ilvl w:val="0"/>
          <w:numId w:val="19"/>
        </w:numPr>
        <w:autoSpaceDE w:val="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</w:t>
      </w:r>
      <w:r w:rsidR="00CA548C">
        <w:rPr>
          <w:rFonts w:eastAsia="Calibri" w:cs="Arial"/>
          <w:szCs w:val="20"/>
        </w:rPr>
        <w:t xml:space="preserve">stavebních </w:t>
      </w:r>
      <w:r w:rsidR="001B1534">
        <w:rPr>
          <w:rFonts w:eastAsia="Calibri" w:cs="Arial"/>
          <w:szCs w:val="20"/>
        </w:rPr>
        <w:t xml:space="preserve">prací </w:t>
      </w:r>
      <w:r w:rsidR="004779CA">
        <w:rPr>
          <w:rFonts w:eastAsia="Calibri" w:cs="Arial"/>
          <w:szCs w:val="20"/>
        </w:rPr>
        <w:t>bude</w:t>
      </w:r>
      <w:r w:rsidR="001B1534">
        <w:rPr>
          <w:rFonts w:eastAsia="Calibri" w:cs="Arial"/>
          <w:szCs w:val="20"/>
        </w:rPr>
        <w:t xml:space="preserve">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</w:t>
      </w:r>
      <w:r w:rsidR="001B1534" w:rsidRPr="004243BE">
        <w:rPr>
          <w:rFonts w:eastAsia="Calibri" w:cs="Arial"/>
          <w:szCs w:val="20"/>
        </w:rPr>
        <w:t xml:space="preserve">do </w:t>
      </w:r>
      <w:r w:rsidR="00654CC9">
        <w:rPr>
          <w:rFonts w:eastAsia="Calibri" w:cs="Arial"/>
          <w:b/>
          <w:szCs w:val="20"/>
        </w:rPr>
        <w:t>30</w:t>
      </w:r>
      <w:r w:rsidR="007C5DEA" w:rsidRPr="004243BE">
        <w:rPr>
          <w:rFonts w:eastAsia="Calibri" w:cs="Arial"/>
          <w:b/>
          <w:szCs w:val="20"/>
        </w:rPr>
        <w:t xml:space="preserve">. </w:t>
      </w:r>
      <w:r w:rsidR="00F305D1">
        <w:rPr>
          <w:rFonts w:eastAsia="Calibri" w:cs="Arial"/>
          <w:b/>
          <w:szCs w:val="20"/>
        </w:rPr>
        <w:t>listopadu</w:t>
      </w:r>
      <w:r w:rsidR="007C5DEA" w:rsidRPr="004243BE">
        <w:rPr>
          <w:rFonts w:eastAsia="Calibri" w:cs="Arial"/>
          <w:b/>
          <w:szCs w:val="20"/>
        </w:rPr>
        <w:t xml:space="preserve"> </w:t>
      </w:r>
      <w:r w:rsidR="006F18CA" w:rsidRPr="004243BE">
        <w:rPr>
          <w:rFonts w:eastAsia="Calibri" w:cs="Arial"/>
          <w:b/>
          <w:szCs w:val="20"/>
        </w:rPr>
        <w:t>20</w:t>
      </w:r>
      <w:r w:rsidR="00F305D1">
        <w:rPr>
          <w:rFonts w:eastAsia="Calibri" w:cs="Arial"/>
          <w:b/>
          <w:szCs w:val="20"/>
        </w:rPr>
        <w:t>21</w:t>
      </w:r>
      <w:r w:rsidR="00965A22">
        <w:rPr>
          <w:rFonts w:eastAsia="Calibri" w:cs="Arial"/>
          <w:szCs w:val="20"/>
        </w:rPr>
        <w:t>.</w:t>
      </w:r>
    </w:p>
    <w:p w:rsidR="00965A22" w:rsidRPr="00503976" w:rsidRDefault="00965A22" w:rsidP="00965A22">
      <w:pPr>
        <w:pStyle w:val="Standard"/>
        <w:autoSpaceDE w:val="0"/>
        <w:jc w:val="both"/>
        <w:rPr>
          <w:rFonts w:eastAsia="Calibri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Uchazeč stanoví nabídkovou cenu za celé plnění veřejné zakázky. Nabídková cena bude zpracována v souladu s položkovým rozpočtem, kter</w:t>
      </w:r>
      <w:r w:rsidR="0046390B">
        <w:rPr>
          <w:rFonts w:eastAsia="Calibri" w:cs="Calibri"/>
          <w:color w:val="000000"/>
          <w:szCs w:val="20"/>
        </w:rPr>
        <w:t>ý</w:t>
      </w:r>
      <w:r>
        <w:rPr>
          <w:rFonts w:eastAsia="Calibri" w:cs="Calibri"/>
          <w:color w:val="000000"/>
          <w:szCs w:val="20"/>
        </w:rPr>
        <w:t xml:space="preserve"> je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slepého rozpočtu jednotkové ceny za jednotlivé práce a úkony.</w:t>
      </w:r>
      <w:r w:rsidR="00626F80">
        <w:rPr>
          <w:rFonts w:eastAsia="Calibri" w:cs="Calibri"/>
          <w:b/>
          <w:color w:val="000000"/>
          <w:szCs w:val="20"/>
        </w:rPr>
        <w:t xml:space="preserve"> </w:t>
      </w:r>
    </w:p>
    <w:p w:rsidR="001B1534" w:rsidRDefault="001B1534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Celkovou nabídkovou cenu </w:t>
      </w:r>
      <w:r w:rsidR="004C6F86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 xml:space="preserve"> ve formátu </w:t>
      </w:r>
      <w:r w:rsidR="00B951FA">
        <w:rPr>
          <w:rFonts w:eastAsia="Calibri" w:cs="Calibri"/>
          <w:color w:val="000000"/>
          <w:szCs w:val="20"/>
        </w:rPr>
        <w:t xml:space="preserve">XLS </w:t>
      </w:r>
      <w:r>
        <w:rPr>
          <w:rFonts w:eastAsia="Calibri" w:cs="Calibri"/>
          <w:color w:val="000000"/>
          <w:szCs w:val="20"/>
        </w:rPr>
        <w:t>(003_Kryci_list_vzor.xls), který je součástí zadávací dokumentace.</w:t>
      </w:r>
    </w:p>
    <w:p w:rsidR="001B1534" w:rsidRPr="00E10F4B" w:rsidRDefault="001B1534" w:rsidP="00E10F4B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lastRenderedPageBreak/>
        <w:t>Nabídková cena</w:t>
      </w:r>
      <w:r w:rsidR="004C6F86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 xml:space="preserve">bude uvedena v CZK a doplněna v návrhu smlouvy o dílo – odstavec </w:t>
      </w:r>
      <w:r w:rsidR="006F18CA">
        <w:rPr>
          <w:rFonts w:eastAsia="Calibri" w:cs="Calibri"/>
          <w:color w:val="000000"/>
          <w:szCs w:val="20"/>
        </w:rPr>
        <w:t>5. 1</w:t>
      </w:r>
      <w:r>
        <w:rPr>
          <w:rFonts w:eastAsia="Calibri" w:cs="Calibri"/>
          <w:color w:val="000000"/>
          <w:szCs w:val="20"/>
        </w:rPr>
        <w:t>.</w:t>
      </w:r>
      <w:r w:rsidR="0046390B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>(vzor součástí zadávací dokumentace).</w:t>
      </w:r>
      <w:r w:rsidR="00E10F4B">
        <w:rPr>
          <w:rFonts w:eastAsia="Calibri" w:cs="Calibri"/>
          <w:szCs w:val="20"/>
        </w:rPr>
        <w:t xml:space="preserve"> </w:t>
      </w:r>
      <w:r w:rsidRPr="00503976">
        <w:rPr>
          <w:b/>
        </w:rPr>
        <w:t xml:space="preserve">Nabídková cena </w:t>
      </w:r>
      <w:r w:rsidR="004C6F86" w:rsidRPr="00503976">
        <w:rPr>
          <w:b/>
        </w:rPr>
        <w:t>bez DPH</w:t>
      </w:r>
      <w:r w:rsidR="004C6F86" w:rsidRPr="00503976">
        <w:t xml:space="preserve"> </w:t>
      </w:r>
      <w:r>
        <w:t>je předmětem hodnocení.</w:t>
      </w:r>
    </w:p>
    <w:p w:rsidR="00D8334C" w:rsidRDefault="00D8334C" w:rsidP="00B81463">
      <w:pPr>
        <w:pStyle w:val="Standard"/>
        <w:jc w:val="both"/>
      </w:pPr>
    </w:p>
    <w:p w:rsidR="00654CC9" w:rsidRDefault="00654CC9" w:rsidP="00B81463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0F6267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 w:rsidR="00D8650B"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p w:rsidR="002E4618" w:rsidRDefault="002E4618" w:rsidP="002E4618">
      <w:pPr>
        <w:pStyle w:val="Standard"/>
        <w:jc w:val="both"/>
        <w:rPr>
          <w:rFonts w:eastAsia="Calibri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59035F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1B1534" w:rsidRDefault="001B1534" w:rsidP="00D8334C">
      <w:pPr>
        <w:pStyle w:val="Standard"/>
        <w:autoSpaceDE w:val="0"/>
        <w:spacing w:before="120"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krycího listu nabídky uchazeč závazně použije vzor, který je součástí zadávací dokumentace (003_Kryci_list_vzor.xls). Na krycím listu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Základní kvalifikační předpoklady uchazeč doloží předložením čestného prohlášení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1B1534">
      <w:pPr>
        <w:pStyle w:val="Standard"/>
        <w:ind w:left="850"/>
        <w:jc w:val="both"/>
        <w:rPr>
          <w:rFonts w:eastAsia="ArialMT, 'Times New Roman'" w:cs="Arial"/>
          <w:sz w:val="12"/>
          <w:szCs w:val="12"/>
        </w:rPr>
      </w:pP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626F80">
        <w:rPr>
          <w:rFonts w:eastAsia="ArialMT, 'Times New Roman'" w:cs="Arial"/>
          <w:szCs w:val="20"/>
        </w:rPr>
        <w:t xml:space="preserve">minimálně </w:t>
      </w:r>
      <w:r w:rsidR="00CF31E3" w:rsidRPr="00626F80">
        <w:rPr>
          <w:rFonts w:eastAsia="ArialMT, 'Times New Roman'" w:cs="Arial"/>
          <w:szCs w:val="20"/>
        </w:rPr>
        <w:t>3</w:t>
      </w:r>
      <w:r w:rsidRPr="00626F80">
        <w:rPr>
          <w:rFonts w:eastAsia="ArialMT, 'Times New Roman'" w:cs="Arial"/>
          <w:szCs w:val="20"/>
        </w:rPr>
        <w:t> zakázek obdobného charakteru (</w:t>
      </w:r>
      <w:r w:rsidR="00003CDC" w:rsidRPr="00626F80">
        <w:t xml:space="preserve">reference na </w:t>
      </w:r>
      <w:r w:rsidR="00B74FDC">
        <w:t>realizace</w:t>
      </w:r>
      <w:r w:rsidR="00E10F4B">
        <w:t xml:space="preserve"> </w:t>
      </w:r>
      <w:r w:rsidR="000F6267" w:rsidRPr="00626F80">
        <w:t>vodovodních řadů</w:t>
      </w:r>
      <w:r w:rsidR="00E10F4B">
        <w:t xml:space="preserve">, </w:t>
      </w:r>
      <w:r w:rsidR="00965A22">
        <w:t>každé v </w:t>
      </w:r>
      <w:r w:rsidR="00003CDC" w:rsidRPr="00626F80">
        <w:t xml:space="preserve">hodnotě minimálně </w:t>
      </w:r>
      <w:r w:rsidR="00F305D1">
        <w:t>1</w:t>
      </w:r>
      <w:r w:rsidR="00965A22">
        <w:t>.000</w:t>
      </w:r>
      <w:r w:rsidR="00003CDC" w:rsidRPr="00626F80">
        <w:t>.</w:t>
      </w:r>
      <w:r w:rsidR="00560D67">
        <w:t>000 </w:t>
      </w:r>
      <w:r w:rsidR="00003CDC" w:rsidRPr="00626F80">
        <w:t>Kč</w:t>
      </w:r>
      <w:r w:rsidR="00DC7EEA" w:rsidRPr="00626F80">
        <w:rPr>
          <w:rFonts w:eastAsia="ArialMT, 'Times New Roman'" w:cs="Arial"/>
          <w:szCs w:val="20"/>
        </w:rPr>
        <w:t>)</w:t>
      </w:r>
      <w:r w:rsidRPr="00626F80">
        <w:rPr>
          <w:rFonts w:eastAsia="ArialMT, 'Times New Roman'" w:cs="Arial"/>
          <w:szCs w:val="20"/>
        </w:rPr>
        <w:t>, které uchazeč vykonal v průběhu posledních 5 let</w:t>
      </w:r>
      <w:r w:rsidRPr="00503976">
        <w:rPr>
          <w:rFonts w:eastAsia="ArialMT, 'Times New Roman'" w:cs="Arial"/>
          <w:szCs w:val="20"/>
        </w:rPr>
        <w:t xml:space="preserve">. Tyto </w:t>
      </w:r>
      <w:r w:rsidR="007F7332" w:rsidRPr="00503976">
        <w:rPr>
          <w:rFonts w:eastAsia="ArialMT, 'Times New Roman'" w:cs="Arial"/>
          <w:szCs w:val="20"/>
        </w:rPr>
        <w:t>příklady musí obsahovat údaje o </w:t>
      </w:r>
      <w:r w:rsidRPr="00503976">
        <w:rPr>
          <w:rFonts w:eastAsia="ArialMT, 'Times New Roman'" w:cs="Arial"/>
          <w:szCs w:val="20"/>
        </w:rPr>
        <w:t>objednateli, ko</w:t>
      </w:r>
      <w:r>
        <w:rPr>
          <w:rFonts w:eastAsia="ArialMT, 'Times New Roman'" w:cs="Arial"/>
          <w:szCs w:val="20"/>
        </w:rPr>
        <w:t>ntaktní osobu objednatele, která může podat reference, údaje o ceně, době a místu provádění prací. Pro sestavení seznamu uchazeč závazně použije vzor, který je součá</w:t>
      </w:r>
      <w:r>
        <w:t>stí zadávací dokumenta</w:t>
      </w:r>
      <w:r w:rsidR="00E10F4B">
        <w:t>ce (005_TKP_referen</w:t>
      </w:r>
      <w:r w:rsidR="00965A22">
        <w:t>ce_vzor.xls)</w:t>
      </w:r>
      <w:r w:rsidR="00E10F4B">
        <w:t>.</w:t>
      </w:r>
    </w:p>
    <w:p w:rsidR="00F305D1" w:rsidRPr="00E10F4B" w:rsidRDefault="00F305D1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lastRenderedPageBreak/>
        <w:t>Návrh smlouvy o dílo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 </w:t>
      </w:r>
      <w:r>
        <w:rPr>
          <w:rFonts w:eastAsia="ArialMT, 'Times New Roman'" w:cs="Arial"/>
          <w:szCs w:val="20"/>
        </w:rPr>
        <w:t xml:space="preserve">prací - odstavec 4.1, </w:t>
      </w:r>
      <w:r>
        <w:rPr>
          <w:rFonts w:eastAsia="ArialMT, 'Times New Roman'" w:cs="Arial"/>
          <w:b/>
          <w:bCs/>
          <w:szCs w:val="20"/>
        </w:rPr>
        <w:t>cenu</w:t>
      </w:r>
      <w:r>
        <w:rPr>
          <w:rFonts w:eastAsia="ArialMT, 'Times New Roman'" w:cs="Arial"/>
          <w:szCs w:val="20"/>
        </w:rPr>
        <w:t xml:space="preserve"> díla – odstavec 5.1 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</w:p>
    <w:p w:rsidR="001B1534" w:rsidRDefault="001B1534" w:rsidP="00CF474E">
      <w:pPr>
        <w:pStyle w:val="Standard"/>
        <w:autoSpaceDE w:val="0"/>
        <w:spacing w:after="113"/>
        <w:ind w:left="350" w:hanging="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Smlouva bude podepsaná osobou oprávněnou jednat jménem uchazeče.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nabídkovou cenu za celé plnění veřejné zakázky. Nabídková cena bude zpracována pomocí slepého výkazu výměr, který je součástí zadávací dokumentace (007_SVV.</w:t>
      </w:r>
      <w:r w:rsidR="00503976">
        <w:rPr>
          <w:rFonts w:eastAsia="ArialMT, 'Times New Roman'" w:cs="Arial"/>
          <w:szCs w:val="20"/>
        </w:rPr>
        <w:t>xls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BA6316">
      <w:pPr>
        <w:pStyle w:val="Standard"/>
        <w:spacing w:after="120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C65509">
      <w:pPr>
        <w:pStyle w:val="Standard"/>
        <w:numPr>
          <w:ilvl w:val="1"/>
          <w:numId w:val="21"/>
        </w:numPr>
        <w:spacing w:before="57"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2E461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</w:t>
      </w:r>
      <w:r w:rsidR="00965A22">
        <w:rPr>
          <w:rFonts w:eastAsia="Calibri" w:cs="Arial"/>
          <w:szCs w:val="20"/>
        </w:rPr>
        <w:t>adávací řízení dle zákona č. 134/201</w:t>
      </w:r>
      <w:r>
        <w:rPr>
          <w:rFonts w:eastAsia="Calibri" w:cs="Arial"/>
          <w:szCs w:val="20"/>
        </w:rPr>
        <w:t>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</w:t>
      </w:r>
      <w:r w:rsidR="00965A22">
        <w:rPr>
          <w:rFonts w:eastAsia="Calibri" w:cs="Arial"/>
          <w:szCs w:val="20"/>
        </w:rPr>
        <w:t xml:space="preserve">zadávání </w:t>
      </w:r>
      <w:r>
        <w:rPr>
          <w:rFonts w:eastAsia="Calibri" w:cs="Arial"/>
          <w:szCs w:val="20"/>
        </w:rPr>
        <w:t>veřejných zakáz</w:t>
      </w:r>
      <w:r w:rsidR="00965A22">
        <w:rPr>
          <w:rFonts w:eastAsia="Calibri" w:cs="Arial"/>
          <w:szCs w:val="20"/>
        </w:rPr>
        <w:t>e</w:t>
      </w:r>
      <w:r>
        <w:rPr>
          <w:rFonts w:eastAsia="Calibri" w:cs="Arial"/>
          <w:szCs w:val="20"/>
        </w:rPr>
        <w:t>k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4B1D26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p w:rsidR="00F70C82" w:rsidRDefault="00F70C82" w:rsidP="004B1D26">
      <w:pPr>
        <w:pStyle w:val="Standard"/>
        <w:ind w:left="350" w:hanging="363"/>
        <w:jc w:val="both"/>
        <w:rPr>
          <w:rFonts w:eastAsia="ArialMT, 'Times New Roman'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A HODNOCENÍ NABÍDEK</w:t>
            </w:r>
          </w:p>
        </w:tc>
      </w:tr>
    </w:tbl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CD028E" w:rsidRDefault="00CD028E" w:rsidP="00CD028E">
      <w:pPr>
        <w:pStyle w:val="Standard"/>
        <w:numPr>
          <w:ilvl w:val="1"/>
          <w:numId w:val="26"/>
        </w:numPr>
        <w:spacing w:before="57"/>
        <w:ind w:left="714" w:hanging="357"/>
        <w:jc w:val="both"/>
        <w:rPr>
          <w:rFonts w:eastAsia="Calibri" w:cs="Calibri"/>
          <w:szCs w:val="20"/>
        </w:rPr>
      </w:pPr>
      <w:r w:rsidRPr="00BD3A13">
        <w:rPr>
          <w:rFonts w:eastAsia="Calibri" w:cs="Arial"/>
          <w:szCs w:val="20"/>
        </w:rPr>
        <w:t>Jednotlivé nabídky budou hodnoceny podle celkové ekonomické výhodnosti nabídky a to dle následujících</w:t>
      </w:r>
      <w:r>
        <w:rPr>
          <w:rFonts w:eastAsia="Calibri" w:cs="Calibri"/>
          <w:szCs w:val="20"/>
        </w:rPr>
        <w:t xml:space="preserve"> kritérií a vah vyjadřujících relativní důležitost těchto kritérií: </w:t>
      </w:r>
    </w:p>
    <w:p w:rsidR="00CD028E" w:rsidRPr="00BD3A13" w:rsidRDefault="00CD028E" w:rsidP="00CD028E">
      <w:pPr>
        <w:pStyle w:val="Standard"/>
        <w:numPr>
          <w:ilvl w:val="0"/>
          <w:numId w:val="25"/>
        </w:numPr>
        <w:ind w:left="1134" w:hanging="357"/>
        <w:jc w:val="both"/>
        <w:rPr>
          <w:rFonts w:eastAsia="Calibri" w:cs="Calibri"/>
          <w:b/>
          <w:szCs w:val="20"/>
        </w:rPr>
      </w:pPr>
      <w:r w:rsidRPr="00BD3A13">
        <w:rPr>
          <w:rFonts w:eastAsia="Calibri" w:cs="Calibri"/>
          <w:b/>
          <w:szCs w:val="20"/>
        </w:rPr>
        <w:t xml:space="preserve">nabídková cena bez DPH – váha </w:t>
      </w:r>
      <w:r>
        <w:rPr>
          <w:rFonts w:eastAsia="Calibri" w:cs="Calibri"/>
          <w:b/>
          <w:szCs w:val="20"/>
        </w:rPr>
        <w:t>80</w:t>
      </w:r>
      <w:r w:rsidRPr="00BD3A13">
        <w:rPr>
          <w:rFonts w:eastAsia="Calibri" w:cs="Calibri"/>
          <w:b/>
          <w:szCs w:val="20"/>
        </w:rPr>
        <w:t xml:space="preserve"> %,</w:t>
      </w:r>
    </w:p>
    <w:p w:rsidR="00CD028E" w:rsidRPr="00BD3A13" w:rsidRDefault="00CD028E" w:rsidP="00CD028E">
      <w:pPr>
        <w:pStyle w:val="Standard"/>
        <w:numPr>
          <w:ilvl w:val="0"/>
          <w:numId w:val="25"/>
        </w:numPr>
        <w:ind w:left="1134" w:hanging="357"/>
        <w:jc w:val="both"/>
        <w:rPr>
          <w:rFonts w:eastAsia="Calibri" w:cs="Calibri"/>
          <w:b/>
          <w:szCs w:val="20"/>
        </w:rPr>
      </w:pPr>
      <w:r w:rsidRPr="00BD3A13">
        <w:rPr>
          <w:rFonts w:eastAsia="Calibri" w:cs="Calibri"/>
          <w:b/>
          <w:szCs w:val="20"/>
        </w:rPr>
        <w:t xml:space="preserve">rychlost provedení prací – váha </w:t>
      </w:r>
      <w:r>
        <w:rPr>
          <w:rFonts w:eastAsia="Calibri" w:cs="Calibri"/>
          <w:b/>
          <w:szCs w:val="20"/>
        </w:rPr>
        <w:t>10</w:t>
      </w:r>
      <w:r w:rsidRPr="00BD3A13">
        <w:rPr>
          <w:rFonts w:eastAsia="Calibri" w:cs="Calibri"/>
          <w:b/>
          <w:szCs w:val="20"/>
        </w:rPr>
        <w:t xml:space="preserve"> %,</w:t>
      </w:r>
    </w:p>
    <w:p w:rsidR="00CD028E" w:rsidRDefault="00CD028E" w:rsidP="00CD028E">
      <w:pPr>
        <w:pStyle w:val="Standard"/>
        <w:numPr>
          <w:ilvl w:val="0"/>
          <w:numId w:val="25"/>
        </w:numPr>
        <w:ind w:left="1134" w:hanging="357"/>
        <w:jc w:val="both"/>
        <w:rPr>
          <w:rFonts w:eastAsia="Calibri" w:cs="Calibri"/>
          <w:b/>
          <w:szCs w:val="20"/>
        </w:rPr>
      </w:pPr>
      <w:r>
        <w:rPr>
          <w:rFonts w:eastAsia="Calibri" w:cs="Calibri"/>
          <w:b/>
          <w:szCs w:val="20"/>
        </w:rPr>
        <w:t>reference</w:t>
      </w:r>
      <w:r w:rsidRPr="00BD3A13">
        <w:rPr>
          <w:rFonts w:eastAsia="Calibri" w:cs="Calibri"/>
          <w:b/>
          <w:szCs w:val="20"/>
        </w:rPr>
        <w:t xml:space="preserve"> – váha 10 %.</w:t>
      </w:r>
    </w:p>
    <w:p w:rsidR="00CD028E" w:rsidRPr="00BD3A13" w:rsidRDefault="00CD028E" w:rsidP="00CD028E">
      <w:pPr>
        <w:pStyle w:val="Standard"/>
        <w:numPr>
          <w:ilvl w:val="1"/>
          <w:numId w:val="26"/>
        </w:numPr>
        <w:spacing w:before="120"/>
        <w:ind w:left="714" w:hanging="357"/>
        <w:jc w:val="both"/>
        <w:rPr>
          <w:rFonts w:eastAsia="Calibri" w:cs="Calibri"/>
          <w:b/>
          <w:szCs w:val="20"/>
        </w:rPr>
      </w:pPr>
      <w:r w:rsidRPr="00BD3A13">
        <w:rPr>
          <w:rFonts w:eastAsia="Calibri" w:cs="Calibri"/>
          <w:szCs w:val="20"/>
        </w:rPr>
        <w:t>Pro hodnocení nabídek bude použita bodovací stupnice v rozsahu 0 až 100. Každé jednotlivé nabídce je dle dílčího hodnotícího kritéria přidělena bodová hodnota, která odráží úspěšnost předmětné nabídky v rámci dílčího hodnotícího kritéria.</w:t>
      </w:r>
    </w:p>
    <w:p w:rsidR="00CD028E" w:rsidRPr="003E24D3" w:rsidRDefault="00CD028E" w:rsidP="00CD028E">
      <w:pPr>
        <w:pStyle w:val="Standard"/>
        <w:numPr>
          <w:ilvl w:val="1"/>
          <w:numId w:val="26"/>
        </w:numPr>
        <w:spacing w:before="120"/>
        <w:ind w:left="714" w:hanging="3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Pro dílčí hodnotící kritérium „</w:t>
      </w:r>
      <w:r w:rsidRPr="00EC3EA2">
        <w:rPr>
          <w:rFonts w:eastAsia="Calibri" w:cs="Calibri"/>
          <w:b/>
          <w:szCs w:val="20"/>
        </w:rPr>
        <w:t>nabídková cena</w:t>
      </w:r>
      <w:r w:rsidRPr="003E24D3">
        <w:rPr>
          <w:rFonts w:eastAsia="Calibri" w:cs="Calibri"/>
          <w:szCs w:val="20"/>
        </w:rPr>
        <w:t>“ získá nejnižší nabídková cena 100 bodů a každá další hodnocená nabídka bodovou hodnotu, která vznikne násobkem 100 a poměru hodnoty nejlepší nabídky v rámci daného kritéria (s nejnižší nabídkovou cenou) k hodnocené nabídce.</w:t>
      </w:r>
    </w:p>
    <w:p w:rsidR="00CD028E" w:rsidRPr="003E24D3" w:rsidRDefault="00CD028E" w:rsidP="00CD028E">
      <w:pPr>
        <w:pStyle w:val="Standard"/>
        <w:numPr>
          <w:ilvl w:val="1"/>
          <w:numId w:val="26"/>
        </w:numPr>
        <w:spacing w:before="120"/>
        <w:ind w:left="714" w:hanging="357"/>
        <w:jc w:val="both"/>
        <w:rPr>
          <w:rFonts w:eastAsia="Calibri" w:cs="Calibri"/>
          <w:szCs w:val="20"/>
        </w:rPr>
      </w:pPr>
      <w:r w:rsidRPr="003E24D3">
        <w:rPr>
          <w:rFonts w:eastAsia="Calibri" w:cs="Calibri"/>
          <w:szCs w:val="20"/>
        </w:rPr>
        <w:t>Pro dílčí hodnotící kritérium „</w:t>
      </w:r>
      <w:r w:rsidRPr="00EC3EA2">
        <w:rPr>
          <w:rFonts w:eastAsia="Calibri" w:cs="Calibri"/>
          <w:b/>
          <w:szCs w:val="20"/>
        </w:rPr>
        <w:t>rychlost provedení prací</w:t>
      </w:r>
      <w:r w:rsidRPr="003E24D3">
        <w:rPr>
          <w:rFonts w:eastAsia="Calibri" w:cs="Calibri"/>
          <w:szCs w:val="20"/>
        </w:rPr>
        <w:t xml:space="preserve">“ získá </w:t>
      </w:r>
      <w:r>
        <w:rPr>
          <w:rFonts w:eastAsia="Calibri" w:cs="Calibri"/>
          <w:szCs w:val="20"/>
        </w:rPr>
        <w:t>nejkratší doba provádění prací</w:t>
      </w:r>
      <w:r w:rsidRPr="003E24D3">
        <w:rPr>
          <w:rFonts w:eastAsia="Calibri" w:cs="Calibri"/>
          <w:szCs w:val="20"/>
        </w:rPr>
        <w:t xml:space="preserve"> 100 bodů a další hodnocená nabídka bodovou hodnotu, která vznikne násobkem 100 a poměru hodnoty </w:t>
      </w:r>
      <w:r>
        <w:rPr>
          <w:rFonts w:eastAsia="Calibri" w:cs="Calibri"/>
          <w:szCs w:val="20"/>
        </w:rPr>
        <w:t>nejlepší</w:t>
      </w:r>
      <w:r w:rsidRPr="003E24D3">
        <w:rPr>
          <w:rFonts w:eastAsia="Calibri" w:cs="Calibri"/>
          <w:szCs w:val="20"/>
        </w:rPr>
        <w:t xml:space="preserve"> nabídky k </w:t>
      </w:r>
      <w:r>
        <w:rPr>
          <w:rFonts w:eastAsia="Calibri" w:cs="Calibri"/>
          <w:szCs w:val="20"/>
        </w:rPr>
        <w:t>hodnocené</w:t>
      </w:r>
      <w:r w:rsidRPr="003E24D3">
        <w:rPr>
          <w:rFonts w:eastAsia="Calibri" w:cs="Calibri"/>
          <w:szCs w:val="20"/>
        </w:rPr>
        <w:t xml:space="preserve"> nabídce v rámci daného hodnotícího kritéria (nabídce s</w:t>
      </w:r>
      <w:r>
        <w:rPr>
          <w:rFonts w:eastAsia="Calibri" w:cs="Calibri"/>
          <w:szCs w:val="20"/>
        </w:rPr>
        <w:t> nejkratší dobou provádění prací</w:t>
      </w:r>
      <w:r w:rsidRPr="003E24D3">
        <w:rPr>
          <w:rFonts w:eastAsia="Calibri" w:cs="Calibri"/>
          <w:szCs w:val="20"/>
        </w:rPr>
        <w:t>).</w:t>
      </w:r>
    </w:p>
    <w:p w:rsidR="00CD028E" w:rsidRDefault="00CD028E" w:rsidP="00CD028E">
      <w:pPr>
        <w:pStyle w:val="Standard"/>
        <w:numPr>
          <w:ilvl w:val="1"/>
          <w:numId w:val="26"/>
        </w:numPr>
        <w:spacing w:before="120"/>
        <w:ind w:left="714" w:hanging="357"/>
        <w:jc w:val="both"/>
        <w:rPr>
          <w:rFonts w:eastAsia="Calibri" w:cs="Calibri"/>
          <w:szCs w:val="20"/>
        </w:rPr>
      </w:pPr>
      <w:r w:rsidRPr="003E24D3">
        <w:rPr>
          <w:rFonts w:eastAsia="Calibri" w:cs="Calibri"/>
          <w:szCs w:val="20"/>
        </w:rPr>
        <w:t>Pro dílčí kritérium „</w:t>
      </w:r>
      <w:r w:rsidRPr="00EC3EA2">
        <w:rPr>
          <w:rFonts w:eastAsia="Calibri" w:cs="Calibri"/>
          <w:b/>
          <w:szCs w:val="20"/>
        </w:rPr>
        <w:t>reference</w:t>
      </w:r>
      <w:r w:rsidRPr="003E24D3">
        <w:rPr>
          <w:rFonts w:eastAsia="Calibri" w:cs="Calibri"/>
          <w:szCs w:val="20"/>
        </w:rPr>
        <w:t xml:space="preserve">“ získá </w:t>
      </w:r>
      <w:r w:rsidRPr="00B774D3">
        <w:rPr>
          <w:rFonts w:eastAsia="Calibri" w:cs="Calibri"/>
          <w:szCs w:val="20"/>
        </w:rPr>
        <w:t>nabídka s nejlepšími referencemi</w:t>
      </w:r>
      <w:r>
        <w:rPr>
          <w:rFonts w:eastAsia="Calibri" w:cs="Calibri"/>
          <w:szCs w:val="20"/>
        </w:rPr>
        <w:t xml:space="preserve"> </w:t>
      </w:r>
      <w:r w:rsidRPr="003E24D3">
        <w:rPr>
          <w:rFonts w:eastAsia="Calibri" w:cs="Calibri"/>
          <w:szCs w:val="20"/>
        </w:rPr>
        <w:t xml:space="preserve">100 bodů a další hodnocená nabídka bodovou hodnotu, která vznikne násobkem 100 a poměru hodnoty </w:t>
      </w:r>
      <w:r>
        <w:rPr>
          <w:rFonts w:eastAsia="Calibri" w:cs="Calibri"/>
          <w:szCs w:val="20"/>
        </w:rPr>
        <w:t xml:space="preserve">nejlepší nabídky k </w:t>
      </w:r>
      <w:r w:rsidRPr="003E24D3">
        <w:rPr>
          <w:rFonts w:eastAsia="Calibri" w:cs="Calibri"/>
          <w:szCs w:val="20"/>
        </w:rPr>
        <w:t>hodnocené nabídce v rámci daného hodnotícího kritéria (nabídce s</w:t>
      </w:r>
      <w:r>
        <w:rPr>
          <w:rFonts w:eastAsia="Calibri" w:cs="Calibri"/>
          <w:szCs w:val="20"/>
        </w:rPr>
        <w:t> nejlepšími referencemi</w:t>
      </w:r>
      <w:r w:rsidRPr="003E24D3">
        <w:rPr>
          <w:rFonts w:eastAsia="Calibri" w:cs="Calibri"/>
          <w:szCs w:val="20"/>
        </w:rPr>
        <w:t>).</w:t>
      </w:r>
    </w:p>
    <w:p w:rsidR="00697B0C" w:rsidRPr="00CD028E" w:rsidRDefault="00CD028E" w:rsidP="00CD028E">
      <w:pPr>
        <w:pStyle w:val="Standard"/>
        <w:numPr>
          <w:ilvl w:val="1"/>
          <w:numId w:val="26"/>
        </w:numPr>
        <w:spacing w:before="120"/>
        <w:ind w:left="714" w:hanging="357"/>
        <w:jc w:val="both"/>
        <w:rPr>
          <w:rFonts w:eastAsia="Calibri" w:cs="Calibri"/>
          <w:szCs w:val="20"/>
        </w:rPr>
      </w:pPr>
      <w:r w:rsidRPr="00CD028E">
        <w:rPr>
          <w:rFonts w:asciiTheme="minorHAnsi" w:eastAsia="Calibri" w:hAnsiTheme="minorHAnsi" w:cstheme="minorHAnsi"/>
          <w:szCs w:val="20"/>
        </w:rPr>
        <w:t>Hodnocení podle bodovací metody bude provedeno tak, že jednotlivá bodová ohodnocení nabídek dle jednotlivých kritérií, resp. dílčích kritérií se vynásobí příslušnou vahou daného kritéria. Na základě součtu výsledných hodnot u jednotlivých nabídek se stanoví pořadí úspěšnosti jednotlivých nabídek tak, že jako nejúspěšnější je stanovena nabídka, která dosáhla nejvyšší bodové hodnoty.</w:t>
      </w:r>
    </w:p>
    <w:p w:rsidR="00697B0C" w:rsidRPr="003E24D3" w:rsidRDefault="00697B0C" w:rsidP="00697B0C">
      <w:pPr>
        <w:pStyle w:val="Standard"/>
        <w:jc w:val="both"/>
        <w:rPr>
          <w:rFonts w:eastAsia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3E24D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5F6C4C" w:rsidRDefault="001B1534" w:rsidP="003D6F40">
      <w:pPr>
        <w:pStyle w:val="Standard"/>
        <w:spacing w:before="57"/>
        <w:jc w:val="both"/>
        <w:rPr>
          <w:rFonts w:cs="Arial"/>
          <w:b/>
          <w:bCs/>
          <w:sz w:val="22"/>
          <w:szCs w:val="22"/>
        </w:rPr>
      </w:pPr>
      <w:r>
        <w:rPr>
          <w:rFonts w:eastAsia="Calibri" w:cs="Calibri"/>
          <w:szCs w:val="20"/>
        </w:rPr>
        <w:t xml:space="preserve">Nabídka musí být předložena písemně v listinné podobě v českém jazyce v jednom vyhotovení v nerozebíratelné </w:t>
      </w:r>
      <w:r>
        <w:rPr>
          <w:rFonts w:eastAsia="Calibri" w:cs="Calibri"/>
          <w:szCs w:val="20"/>
        </w:rPr>
        <w:lastRenderedPageBreak/>
        <w:t>formě. Nabídky lze podávat osobně nebo poštou na adresu zadavatele uvedenou níže, a to v uzavřených, neprůhledných obálkách označených heslem:</w:t>
      </w:r>
    </w:p>
    <w:p w:rsidR="00CF474E" w:rsidRPr="00D8334C" w:rsidRDefault="00CF474E" w:rsidP="00560D67">
      <w:pPr>
        <w:pStyle w:val="Standard"/>
        <w:spacing w:before="120" w:after="120"/>
        <w:jc w:val="center"/>
        <w:rPr>
          <w:rFonts w:cs="Arial"/>
          <w:b/>
          <w:bCs/>
          <w:sz w:val="22"/>
          <w:szCs w:val="22"/>
        </w:rPr>
      </w:pPr>
      <w:r w:rsidRPr="00D8334C">
        <w:rPr>
          <w:rFonts w:cs="Arial"/>
          <w:b/>
          <w:bCs/>
          <w:sz w:val="22"/>
          <w:szCs w:val="22"/>
        </w:rPr>
        <w:t xml:space="preserve">„Neotevírat – VZ č. </w:t>
      </w:r>
      <w:r w:rsidR="0059035F" w:rsidRPr="00D8334C">
        <w:rPr>
          <w:rFonts w:eastAsia="Arial" w:cs="Arial"/>
          <w:b/>
          <w:bCs/>
          <w:sz w:val="22"/>
          <w:szCs w:val="22"/>
        </w:rPr>
        <w:t>20</w:t>
      </w:r>
      <w:r w:rsidR="00F305D1">
        <w:rPr>
          <w:rFonts w:eastAsia="Arial" w:cs="Arial"/>
          <w:b/>
          <w:bCs/>
          <w:sz w:val="22"/>
          <w:szCs w:val="22"/>
        </w:rPr>
        <w:t>21</w:t>
      </w:r>
      <w:r w:rsidR="00C240C7">
        <w:rPr>
          <w:rFonts w:eastAsia="Arial" w:cs="Arial"/>
          <w:b/>
          <w:bCs/>
          <w:sz w:val="22"/>
          <w:szCs w:val="22"/>
        </w:rPr>
        <w:t>00</w:t>
      </w:r>
      <w:r w:rsidR="00F305D1">
        <w:rPr>
          <w:rFonts w:eastAsia="Arial" w:cs="Arial"/>
          <w:b/>
          <w:bCs/>
          <w:sz w:val="22"/>
          <w:szCs w:val="22"/>
        </w:rPr>
        <w:t>1</w:t>
      </w:r>
      <w:r w:rsidRPr="00D8334C">
        <w:rPr>
          <w:rFonts w:eastAsia="Arial" w:cs="Arial"/>
          <w:sz w:val="22"/>
          <w:szCs w:val="22"/>
        </w:rPr>
        <w:t xml:space="preserve"> </w:t>
      </w:r>
      <w:r w:rsidRPr="00D8334C">
        <w:rPr>
          <w:rFonts w:cs="Arial"/>
          <w:b/>
          <w:bCs/>
          <w:sz w:val="22"/>
          <w:szCs w:val="22"/>
        </w:rPr>
        <w:t>–</w:t>
      </w:r>
      <w:r w:rsidR="00C65509">
        <w:rPr>
          <w:rFonts w:cs="Arial"/>
          <w:b/>
          <w:bCs/>
          <w:sz w:val="22"/>
          <w:szCs w:val="22"/>
        </w:rPr>
        <w:t xml:space="preserve"> </w:t>
      </w:r>
      <w:r w:rsidR="00F305D1" w:rsidRPr="00F439F5">
        <w:rPr>
          <w:b/>
        </w:rPr>
        <w:t xml:space="preserve">Vysoké nad Jizerou – Oprava vodovodního řadu Sklenařice – Sochorovi - </w:t>
      </w:r>
      <w:proofErr w:type="spellStart"/>
      <w:r w:rsidR="00F305D1" w:rsidRPr="00F439F5">
        <w:rPr>
          <w:b/>
        </w:rPr>
        <w:t>Manďovo</w:t>
      </w:r>
      <w:proofErr w:type="spellEnd"/>
      <w:r w:rsidRPr="00D8334C">
        <w:rPr>
          <w:rFonts w:cs="Arial"/>
          <w:b/>
          <w:bCs/>
          <w:sz w:val="22"/>
          <w:szCs w:val="22"/>
        </w:rPr>
        <w:t>“</w:t>
      </w:r>
    </w:p>
    <w:p w:rsidR="00CF474E" w:rsidRDefault="00CF474E" w:rsidP="00560D67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512 11 Vysoké nad Jizerou</w:t>
      </w:r>
    </w:p>
    <w:p w:rsidR="001B1534" w:rsidRDefault="00CF474E" w:rsidP="00CF474E">
      <w:pPr>
        <w:pStyle w:val="Standard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p w:rsidR="001B1534" w:rsidRPr="00560D67" w:rsidRDefault="001B1534" w:rsidP="001B1534">
      <w:pPr>
        <w:pStyle w:val="Standard"/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C240C7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Lhůta pro podání nabídek končí v</w:t>
      </w:r>
      <w:r w:rsidR="00F305D1">
        <w:rPr>
          <w:rFonts w:eastAsia="Calibri" w:cs="Calibri"/>
          <w:b/>
          <w:bCs/>
          <w:szCs w:val="20"/>
        </w:rPr>
        <w:t> pondělí 14</w:t>
      </w:r>
      <w:r w:rsidR="00C240C7">
        <w:rPr>
          <w:rFonts w:eastAsia="Calibri" w:cs="Calibri"/>
          <w:b/>
          <w:bCs/>
          <w:szCs w:val="20"/>
        </w:rPr>
        <w:t xml:space="preserve">. </w:t>
      </w:r>
      <w:r w:rsidR="00F305D1">
        <w:rPr>
          <w:rFonts w:eastAsia="Calibri" w:cs="Calibri"/>
          <w:b/>
          <w:bCs/>
          <w:szCs w:val="20"/>
        </w:rPr>
        <w:t>6</w:t>
      </w:r>
      <w:r w:rsidR="00C240C7">
        <w:rPr>
          <w:rFonts w:eastAsia="Calibri" w:cs="Calibri"/>
          <w:b/>
          <w:bCs/>
          <w:szCs w:val="20"/>
        </w:rPr>
        <w:t>. 20</w:t>
      </w:r>
      <w:r w:rsidR="00F305D1">
        <w:rPr>
          <w:rFonts w:eastAsia="Calibri" w:cs="Calibri"/>
          <w:b/>
          <w:bCs/>
          <w:szCs w:val="20"/>
        </w:rPr>
        <w:t>21</w:t>
      </w:r>
      <w:r>
        <w:rPr>
          <w:rFonts w:eastAsia="Calibri" w:cs="Calibri"/>
          <w:b/>
          <w:bCs/>
          <w:szCs w:val="20"/>
        </w:rPr>
        <w:t xml:space="preserve"> v </w:t>
      </w:r>
      <w:r w:rsidR="004B1D26">
        <w:rPr>
          <w:rFonts w:eastAsia="Calibri" w:cs="Calibri"/>
          <w:b/>
          <w:bCs/>
          <w:szCs w:val="20"/>
        </w:rPr>
        <w:t>1</w:t>
      </w:r>
      <w:r w:rsidR="00877642">
        <w:rPr>
          <w:rFonts w:eastAsia="Calibri" w:cs="Calibri"/>
          <w:b/>
          <w:bCs/>
          <w:szCs w:val="20"/>
        </w:rPr>
        <w:t>2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C240C7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C240C7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560D67">
        <w:rPr>
          <w:rFonts w:eastAsia="Calibri" w:cs="Arial"/>
          <w:szCs w:val="20"/>
        </w:rPr>
        <w:tab/>
      </w:r>
      <w:r w:rsidR="00560D67">
        <w:rPr>
          <w:rFonts w:eastAsia="Calibri" w:cs="Arial"/>
          <w:szCs w:val="20"/>
        </w:rPr>
        <w:tab/>
      </w:r>
      <w:r w:rsidR="00560D67">
        <w:rPr>
          <w:rFonts w:eastAsia="Calibri" w:cs="Arial"/>
          <w:szCs w:val="20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CC07B2">
        <w:rPr>
          <w:noProof/>
          <w:lang w:eastAsia="cs-CZ" w:bidi="ar-SA"/>
        </w:rPr>
        <w:drawing>
          <wp:inline distT="0" distB="0" distL="0" distR="0">
            <wp:extent cx="1419225" cy="962025"/>
            <wp:effectExtent l="19050" t="0" r="9525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 w:rsidTr="0059035F">
        <w:trPr>
          <w:trHeight w:val="196"/>
        </w:trPr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B24623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B24623">
              <w:rPr>
                <w:szCs w:val="20"/>
              </w:rPr>
              <w:fldChar w:fldCharType="separate"/>
            </w:r>
            <w:r w:rsidR="00477D79">
              <w:rPr>
                <w:noProof/>
                <w:szCs w:val="20"/>
              </w:rPr>
              <w:t>28. 5. 2021</w:t>
            </w:r>
            <w:r w:rsidR="00B24623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  <w:sectPr w:rsidR="004921C7" w:rsidSect="006E371D">
          <w:headerReference w:type="default" r:id="rId11"/>
          <w:footerReference w:type="default" r:id="rId12"/>
          <w:pgSz w:w="11906" w:h="16838"/>
          <w:pgMar w:top="2552" w:right="1134" w:bottom="1701" w:left="1134" w:header="567" w:footer="567" w:gutter="0"/>
          <w:cols w:space="708"/>
        </w:sectPr>
      </w:pPr>
    </w:p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</w:pPr>
    </w:p>
    <w:p w:rsidR="008E11EB" w:rsidRP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sectPr w:rsidR="008E11EB" w:rsidRPr="008E11EB" w:rsidSect="004921C7">
      <w:type w:val="continuous"/>
      <w:pgSz w:w="11906" w:h="16838"/>
      <w:pgMar w:top="2552" w:right="1134" w:bottom="1701" w:left="1134" w:header="567" w:footer="567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58E" w:rsidRDefault="00F5358E">
      <w:r>
        <w:separator/>
      </w:r>
    </w:p>
  </w:endnote>
  <w:endnote w:type="continuationSeparator" w:id="0">
    <w:p w:rsidR="00F5358E" w:rsidRDefault="00F5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8E" w:rsidRDefault="00477D79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F5358E" w:rsidRDefault="00F5358E">
    <w:pPr>
      <w:pStyle w:val="Standard"/>
      <w:jc w:val="center"/>
      <w:rPr>
        <w:rFonts w:cs="Arial"/>
        <w:sz w:val="12"/>
        <w:szCs w:val="12"/>
      </w:rPr>
    </w:pPr>
  </w:p>
  <w:p w:rsidR="00F5358E" w:rsidRDefault="00F5358E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F5358E" w:rsidRDefault="00F5358E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F5358E" w:rsidRDefault="00F5358E">
    <w:pPr>
      <w:pStyle w:val="Standard"/>
      <w:jc w:val="center"/>
    </w:pPr>
  </w:p>
  <w:p w:rsidR="00F5358E" w:rsidRDefault="00B24623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F5358E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477D79">
      <w:rPr>
        <w:rStyle w:val="Internetlink"/>
        <w:rFonts w:cs="Arial"/>
        <w:noProof/>
        <w:color w:val="000000"/>
        <w:sz w:val="16"/>
        <w:szCs w:val="16"/>
        <w:u w:val="none"/>
      </w:rPr>
      <w:t>5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F5358E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F5358E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477D79">
      <w:rPr>
        <w:rStyle w:val="Internetlink"/>
        <w:rFonts w:cs="Arial"/>
        <w:noProof/>
        <w:color w:val="000000"/>
        <w:sz w:val="16"/>
        <w:szCs w:val="16"/>
        <w:u w:val="none"/>
      </w:rPr>
      <w:t>5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58E" w:rsidRDefault="00F5358E">
      <w:r>
        <w:rPr>
          <w:color w:val="000000"/>
        </w:rPr>
        <w:separator/>
      </w:r>
    </w:p>
  </w:footnote>
  <w:footnote w:type="continuationSeparator" w:id="0">
    <w:p w:rsidR="00F5358E" w:rsidRDefault="00F53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F5358E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F5358E" w:rsidRDefault="00F5358E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2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F5358E" w:rsidRDefault="00F5358E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F5358E" w:rsidRDefault="00F5358E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F5358E" w:rsidRDefault="00F5358E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F5358E" w:rsidRDefault="00F5358E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F5358E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F5358E" w:rsidRDefault="00477D79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F5358E" w:rsidRDefault="00F5358E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4E10"/>
    <w:multiLevelType w:val="multilevel"/>
    <w:tmpl w:val="A02E9E82"/>
    <w:lvl w:ilvl="0">
      <w:numFmt w:val="bullet"/>
      <w:lvlText w:val="•"/>
      <w:lvlJc w:val="left"/>
      <w:rPr>
        <w:rFonts w:ascii="Calibri" w:eastAsia="OpenSymbol" w:hAnsi="Calibri" w:cs="OpenSymbol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0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1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2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4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5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6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7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</w:num>
  <w:num w:numId="5">
    <w:abstractNumId w:val="11"/>
  </w:num>
  <w:num w:numId="6">
    <w:abstractNumId w:val="6"/>
  </w:num>
  <w:num w:numId="7">
    <w:abstractNumId w:val="6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1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9"/>
  </w:num>
  <w:num w:numId="20">
    <w:abstractNumId w:val="12"/>
  </w:num>
  <w:num w:numId="21">
    <w:abstractNumId w:val="10"/>
  </w:num>
  <w:num w:numId="22">
    <w:abstractNumId w:val="16"/>
  </w:num>
  <w:num w:numId="23">
    <w:abstractNumId w:val="13"/>
  </w:num>
  <w:num w:numId="24">
    <w:abstractNumId w:val="15"/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1487C"/>
    <w:rsid w:val="000460FA"/>
    <w:rsid w:val="000646CB"/>
    <w:rsid w:val="00064709"/>
    <w:rsid w:val="000925B2"/>
    <w:rsid w:val="00094BD3"/>
    <w:rsid w:val="000C7DE3"/>
    <w:rsid w:val="000D6E02"/>
    <w:rsid w:val="000E0CB9"/>
    <w:rsid w:val="000F3D8E"/>
    <w:rsid w:val="000F6267"/>
    <w:rsid w:val="001176FE"/>
    <w:rsid w:val="0014436B"/>
    <w:rsid w:val="001A0641"/>
    <w:rsid w:val="001A7593"/>
    <w:rsid w:val="001B1534"/>
    <w:rsid w:val="001B1923"/>
    <w:rsid w:val="001B669C"/>
    <w:rsid w:val="0020093B"/>
    <w:rsid w:val="002171CB"/>
    <w:rsid w:val="00242912"/>
    <w:rsid w:val="002A04E6"/>
    <w:rsid w:val="002B3A80"/>
    <w:rsid w:val="002B44A3"/>
    <w:rsid w:val="002D1228"/>
    <w:rsid w:val="002D6F68"/>
    <w:rsid w:val="002E4618"/>
    <w:rsid w:val="0033092C"/>
    <w:rsid w:val="003D6F40"/>
    <w:rsid w:val="003E24D3"/>
    <w:rsid w:val="004243BE"/>
    <w:rsid w:val="00433A60"/>
    <w:rsid w:val="004460F6"/>
    <w:rsid w:val="0046390B"/>
    <w:rsid w:val="004779CA"/>
    <w:rsid w:val="00477D79"/>
    <w:rsid w:val="004921C7"/>
    <w:rsid w:val="00492EE3"/>
    <w:rsid w:val="004A7FC8"/>
    <w:rsid w:val="004B1D26"/>
    <w:rsid w:val="004C6F86"/>
    <w:rsid w:val="004D2149"/>
    <w:rsid w:val="004E617A"/>
    <w:rsid w:val="004F3F76"/>
    <w:rsid w:val="00503587"/>
    <w:rsid w:val="00503976"/>
    <w:rsid w:val="00503B69"/>
    <w:rsid w:val="00506C0D"/>
    <w:rsid w:val="00522FB1"/>
    <w:rsid w:val="00560D67"/>
    <w:rsid w:val="00563F06"/>
    <w:rsid w:val="00567C25"/>
    <w:rsid w:val="00577ED9"/>
    <w:rsid w:val="0059035F"/>
    <w:rsid w:val="00592237"/>
    <w:rsid w:val="0059345A"/>
    <w:rsid w:val="005C609F"/>
    <w:rsid w:val="005E1814"/>
    <w:rsid w:val="005E5329"/>
    <w:rsid w:val="005F30C0"/>
    <w:rsid w:val="005F6C4C"/>
    <w:rsid w:val="00626F80"/>
    <w:rsid w:val="006419A4"/>
    <w:rsid w:val="00654CC9"/>
    <w:rsid w:val="006802FD"/>
    <w:rsid w:val="00680E81"/>
    <w:rsid w:val="00683A03"/>
    <w:rsid w:val="00697B0C"/>
    <w:rsid w:val="006E371D"/>
    <w:rsid w:val="006F18CA"/>
    <w:rsid w:val="006F37DF"/>
    <w:rsid w:val="006F7BEA"/>
    <w:rsid w:val="0073219C"/>
    <w:rsid w:val="00786228"/>
    <w:rsid w:val="007A6261"/>
    <w:rsid w:val="007A6AAA"/>
    <w:rsid w:val="007B1C3F"/>
    <w:rsid w:val="007C5DEA"/>
    <w:rsid w:val="007F7332"/>
    <w:rsid w:val="0080140C"/>
    <w:rsid w:val="00807AE7"/>
    <w:rsid w:val="00877642"/>
    <w:rsid w:val="0089260D"/>
    <w:rsid w:val="008C7474"/>
    <w:rsid w:val="008D1000"/>
    <w:rsid w:val="008D2222"/>
    <w:rsid w:val="008D5AE0"/>
    <w:rsid w:val="008E11EB"/>
    <w:rsid w:val="008E3211"/>
    <w:rsid w:val="008F31A0"/>
    <w:rsid w:val="00910D2B"/>
    <w:rsid w:val="0092110B"/>
    <w:rsid w:val="00933895"/>
    <w:rsid w:val="00965A22"/>
    <w:rsid w:val="00996C30"/>
    <w:rsid w:val="009D14CD"/>
    <w:rsid w:val="009D5880"/>
    <w:rsid w:val="009E4AAC"/>
    <w:rsid w:val="00A22CAD"/>
    <w:rsid w:val="00A24E7D"/>
    <w:rsid w:val="00A373E0"/>
    <w:rsid w:val="00A517C3"/>
    <w:rsid w:val="00A76020"/>
    <w:rsid w:val="00AA2A6B"/>
    <w:rsid w:val="00AD1768"/>
    <w:rsid w:val="00AD50A8"/>
    <w:rsid w:val="00AD59E9"/>
    <w:rsid w:val="00B24623"/>
    <w:rsid w:val="00B246E7"/>
    <w:rsid w:val="00B34F4B"/>
    <w:rsid w:val="00B57DCC"/>
    <w:rsid w:val="00B74FDC"/>
    <w:rsid w:val="00B774D3"/>
    <w:rsid w:val="00B77C4F"/>
    <w:rsid w:val="00B81463"/>
    <w:rsid w:val="00B84BFF"/>
    <w:rsid w:val="00B92D0A"/>
    <w:rsid w:val="00B951FA"/>
    <w:rsid w:val="00BA6316"/>
    <w:rsid w:val="00BD3A13"/>
    <w:rsid w:val="00C1352C"/>
    <w:rsid w:val="00C240C7"/>
    <w:rsid w:val="00C4384B"/>
    <w:rsid w:val="00C65509"/>
    <w:rsid w:val="00C67FE4"/>
    <w:rsid w:val="00C734BD"/>
    <w:rsid w:val="00C971CD"/>
    <w:rsid w:val="00CA548C"/>
    <w:rsid w:val="00CA5987"/>
    <w:rsid w:val="00CB287A"/>
    <w:rsid w:val="00CC07B2"/>
    <w:rsid w:val="00CD028E"/>
    <w:rsid w:val="00CD5413"/>
    <w:rsid w:val="00CE28CF"/>
    <w:rsid w:val="00CF31E3"/>
    <w:rsid w:val="00CF474E"/>
    <w:rsid w:val="00D115E6"/>
    <w:rsid w:val="00D50356"/>
    <w:rsid w:val="00D777CF"/>
    <w:rsid w:val="00D8334C"/>
    <w:rsid w:val="00D8650B"/>
    <w:rsid w:val="00DB747F"/>
    <w:rsid w:val="00DC7EEA"/>
    <w:rsid w:val="00DF2A9E"/>
    <w:rsid w:val="00E10F4B"/>
    <w:rsid w:val="00E161AB"/>
    <w:rsid w:val="00E21999"/>
    <w:rsid w:val="00E6561A"/>
    <w:rsid w:val="00E91038"/>
    <w:rsid w:val="00EA2432"/>
    <w:rsid w:val="00EA5A97"/>
    <w:rsid w:val="00EC3EA2"/>
    <w:rsid w:val="00ED5FA2"/>
    <w:rsid w:val="00EF292A"/>
    <w:rsid w:val="00F20E42"/>
    <w:rsid w:val="00F305D1"/>
    <w:rsid w:val="00F411B0"/>
    <w:rsid w:val="00F47CD4"/>
    <w:rsid w:val="00F5358E"/>
    <w:rsid w:val="00F54E80"/>
    <w:rsid w:val="00F6056E"/>
    <w:rsid w:val="00F629D2"/>
    <w:rsid w:val="00F70C82"/>
    <w:rsid w:val="00FE19BF"/>
    <w:rsid w:val="00FF032A"/>
    <w:rsid w:val="00FF3730"/>
    <w:rsid w:val="00FF605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CB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E0CB9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E0CB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E0CB9"/>
    <w:pPr>
      <w:spacing w:after="120"/>
    </w:pPr>
  </w:style>
  <w:style w:type="paragraph" w:styleId="Seznam">
    <w:name w:val="List"/>
    <w:basedOn w:val="Textbody"/>
    <w:rsid w:val="000E0CB9"/>
  </w:style>
  <w:style w:type="paragraph" w:styleId="Titulek">
    <w:name w:val="caption"/>
    <w:basedOn w:val="Standard"/>
    <w:rsid w:val="000E0CB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E0CB9"/>
    <w:pPr>
      <w:suppressLineNumbers/>
    </w:pPr>
  </w:style>
  <w:style w:type="paragraph" w:styleId="Zhlav">
    <w:name w:val="header"/>
    <w:basedOn w:val="Standard"/>
    <w:rsid w:val="000E0CB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E0CB9"/>
    <w:pPr>
      <w:suppressLineNumbers/>
    </w:pPr>
  </w:style>
  <w:style w:type="paragraph" w:styleId="Zpat">
    <w:name w:val="footer"/>
    <w:basedOn w:val="Standard"/>
    <w:rsid w:val="000E0CB9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0E0CB9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0E0CB9"/>
    <w:pPr>
      <w:jc w:val="center"/>
    </w:pPr>
    <w:rPr>
      <w:b/>
      <w:bCs/>
    </w:rPr>
  </w:style>
  <w:style w:type="character" w:customStyle="1" w:styleId="Internetlink">
    <w:name w:val="Internet link"/>
    <w:rsid w:val="000E0CB9"/>
    <w:rPr>
      <w:color w:val="000080"/>
      <w:u w:val="single"/>
    </w:rPr>
  </w:style>
  <w:style w:type="character" w:customStyle="1" w:styleId="NumberingSymbols">
    <w:name w:val="Numbering Symbols"/>
    <w:rsid w:val="000E0CB9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0E0CB9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0E0CB9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0E0CB9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0E0CB9"/>
  </w:style>
  <w:style w:type="character" w:customStyle="1" w:styleId="WW8Num1z2">
    <w:name w:val="WW8Num1z2"/>
    <w:rsid w:val="000E0CB9"/>
  </w:style>
  <w:style w:type="character" w:customStyle="1" w:styleId="WW8Num1z3">
    <w:name w:val="WW8Num1z3"/>
    <w:rsid w:val="000E0CB9"/>
  </w:style>
  <w:style w:type="character" w:customStyle="1" w:styleId="WW8Num1z4">
    <w:name w:val="WW8Num1z4"/>
    <w:rsid w:val="000E0CB9"/>
  </w:style>
  <w:style w:type="character" w:customStyle="1" w:styleId="WW8Num1z5">
    <w:name w:val="WW8Num1z5"/>
    <w:rsid w:val="000E0CB9"/>
  </w:style>
  <w:style w:type="character" w:customStyle="1" w:styleId="WW8Num1z6">
    <w:name w:val="WW8Num1z6"/>
    <w:rsid w:val="000E0CB9"/>
  </w:style>
  <w:style w:type="character" w:customStyle="1" w:styleId="WW8Num1z7">
    <w:name w:val="WW8Num1z7"/>
    <w:rsid w:val="000E0CB9"/>
  </w:style>
  <w:style w:type="character" w:customStyle="1" w:styleId="WW8Num1z8">
    <w:name w:val="WW8Num1z8"/>
    <w:rsid w:val="000E0CB9"/>
  </w:style>
  <w:style w:type="numbering" w:customStyle="1" w:styleId="WW8Num3">
    <w:name w:val="WW8Num3"/>
    <w:basedOn w:val="Bezseznamu"/>
    <w:rsid w:val="000E0CB9"/>
    <w:pPr>
      <w:numPr>
        <w:numId w:val="1"/>
      </w:numPr>
    </w:pPr>
  </w:style>
  <w:style w:type="numbering" w:customStyle="1" w:styleId="WW8Num4">
    <w:name w:val="WW8Num4"/>
    <w:basedOn w:val="Bezseznamu"/>
    <w:rsid w:val="000E0CB9"/>
    <w:pPr>
      <w:numPr>
        <w:numId w:val="2"/>
      </w:numPr>
    </w:pPr>
  </w:style>
  <w:style w:type="numbering" w:customStyle="1" w:styleId="WW8Num2">
    <w:name w:val="WW8Num2"/>
    <w:basedOn w:val="Bezseznamu"/>
    <w:rsid w:val="000E0CB9"/>
    <w:pPr>
      <w:numPr>
        <w:numId w:val="3"/>
      </w:numPr>
    </w:pPr>
  </w:style>
  <w:style w:type="numbering" w:customStyle="1" w:styleId="WW8Num1">
    <w:name w:val="WW8Num1"/>
    <w:basedOn w:val="Bezseznamu"/>
    <w:rsid w:val="000E0CB9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A13"/>
    <w:pPr>
      <w:ind w:left="708"/>
    </w:pPr>
    <w:rPr>
      <w:szCs w:val="21"/>
    </w:rPr>
  </w:style>
  <w:style w:type="character" w:styleId="Hypertextovodkaz">
    <w:name w:val="Hyperlink"/>
    <w:uiPriority w:val="99"/>
    <w:unhideWhenUsed/>
    <w:rsid w:val="00560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  <w:style w:type="numbering" w:customStyle="1" w:styleId="Heading">
    <w:name w:val="WW8Num2"/>
    <w:pPr>
      <w:numPr>
        <w:numId w:val="3"/>
      </w:numPr>
    </w:pPr>
  </w:style>
  <w:style w:type="numbering" w:customStyle="1" w:styleId="Textbody">
    <w:name w:val="WW8Num1"/>
    <w:pPr>
      <w:numPr>
        <w:numId w:val="4"/>
      </w:numPr>
    </w:pPr>
  </w:style>
  <w:style w:type="numbering" w:customStyle="1" w:styleId="Seznam">
    <w:name w:val="WW8Num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starosta@vysokenadjizerou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uctarna2@vysokenadjizerou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2258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15552</CharactersWithSpaces>
  <SharedDoc>false</SharedDoc>
  <HLinks>
    <vt:vector size="6" baseType="variant">
      <vt:variant>
        <vt:i4>5505144</vt:i4>
      </vt:variant>
      <vt:variant>
        <vt:i4>0</vt:i4>
      </vt:variant>
      <vt:variant>
        <vt:i4>0</vt:i4>
      </vt:variant>
      <vt:variant>
        <vt:i4>5</vt:i4>
      </vt:variant>
      <vt:variant>
        <vt:lpwstr>mailto:mistostarosta@vysokenadjizerou.cz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13</cp:revision>
  <cp:lastPrinted>2021-05-28T07:19:00Z</cp:lastPrinted>
  <dcterms:created xsi:type="dcterms:W3CDTF">2017-05-25T12:48:00Z</dcterms:created>
  <dcterms:modified xsi:type="dcterms:W3CDTF">2021-05-28T07:19:00Z</dcterms:modified>
</cp:coreProperties>
</file>